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4B1B" w:rsidRDefault="00C64B1B" w:rsidP="00C64B1B">
      <w:pPr>
        <w:jc w:val="center"/>
      </w:pPr>
    </w:p>
    <w:tbl>
      <w:tblPr>
        <w:tblW w:w="15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1134"/>
        <w:gridCol w:w="1843"/>
        <w:gridCol w:w="4678"/>
        <w:gridCol w:w="5812"/>
        <w:gridCol w:w="1359"/>
      </w:tblGrid>
      <w:tr w:rsidR="00A06425" w:rsidRPr="00A06425" w:rsidTr="00A06425">
        <w:tc>
          <w:tcPr>
            <w:tcW w:w="15388" w:type="dxa"/>
            <w:gridSpan w:val="6"/>
            <w:shd w:val="clear" w:color="auto" w:fill="auto"/>
            <w:vAlign w:val="center"/>
          </w:tcPr>
          <w:p w:rsidR="00A06425" w:rsidRPr="00A06425" w:rsidRDefault="00A06425" w:rsidP="00B871B6">
            <w:pPr>
              <w:spacing w:before="120" w:after="120"/>
              <w:rPr>
                <w:rFonts w:asciiTheme="minorHAnsi" w:hAnsiTheme="minorHAnsi" w:cstheme="minorHAnsi"/>
                <w:b/>
                <w:i/>
                <w:sz w:val="22"/>
                <w:szCs w:val="22"/>
              </w:rPr>
            </w:pPr>
            <w:r w:rsidRPr="00A06425">
              <w:rPr>
                <w:rFonts w:asciiTheme="minorHAnsi" w:hAnsiTheme="minorHAnsi" w:cstheme="minorHAnsi"/>
                <w:b/>
                <w:i/>
                <w:sz w:val="22"/>
                <w:szCs w:val="22"/>
              </w:rPr>
              <w:t>Nazwa dokumentu:</w:t>
            </w:r>
            <w:r w:rsidR="00B468F9">
              <w:rPr>
                <w:rFonts w:asciiTheme="minorHAnsi" w:hAnsiTheme="minorHAnsi" w:cstheme="minorHAnsi"/>
                <w:b/>
                <w:i/>
                <w:sz w:val="22"/>
                <w:szCs w:val="22"/>
              </w:rPr>
              <w:t xml:space="preserve"> projekt</w:t>
            </w:r>
            <w:r w:rsidR="00B468F9" w:rsidRPr="00B468F9">
              <w:rPr>
                <w:rFonts w:asciiTheme="minorHAnsi" w:hAnsiTheme="minorHAnsi" w:cstheme="minorHAnsi"/>
                <w:b/>
                <w:i/>
                <w:sz w:val="22"/>
                <w:szCs w:val="22"/>
              </w:rPr>
              <w:t xml:space="preserve"> uchwał</w:t>
            </w:r>
            <w:r w:rsidR="00B468F9">
              <w:rPr>
                <w:rFonts w:asciiTheme="minorHAnsi" w:hAnsiTheme="minorHAnsi" w:cstheme="minorHAnsi"/>
                <w:b/>
                <w:i/>
                <w:sz w:val="22"/>
                <w:szCs w:val="22"/>
              </w:rPr>
              <w:t>y</w:t>
            </w:r>
            <w:r w:rsidR="00B468F9" w:rsidRPr="00B468F9">
              <w:rPr>
                <w:rFonts w:asciiTheme="minorHAnsi" w:hAnsiTheme="minorHAnsi" w:cstheme="minorHAnsi"/>
                <w:b/>
                <w:i/>
                <w:sz w:val="22"/>
                <w:szCs w:val="22"/>
              </w:rPr>
              <w:t xml:space="preserve"> RM w sprawie przyjęcia projektu Umowy Partnerstwa dla realizacji Polityki </w:t>
            </w:r>
            <w:proofErr w:type="spellStart"/>
            <w:r w:rsidR="00B468F9" w:rsidRPr="00B468F9">
              <w:rPr>
                <w:rFonts w:asciiTheme="minorHAnsi" w:hAnsiTheme="minorHAnsi" w:cstheme="minorHAnsi"/>
                <w:b/>
                <w:i/>
                <w:sz w:val="22"/>
                <w:szCs w:val="22"/>
              </w:rPr>
              <w:t>Spójnosci</w:t>
            </w:r>
            <w:proofErr w:type="spellEnd"/>
            <w:r w:rsidR="00B468F9" w:rsidRPr="00B468F9">
              <w:rPr>
                <w:rFonts w:asciiTheme="minorHAnsi" w:hAnsiTheme="minorHAnsi" w:cstheme="minorHAnsi"/>
                <w:b/>
                <w:i/>
                <w:sz w:val="22"/>
                <w:szCs w:val="22"/>
              </w:rPr>
              <w:t xml:space="preserve"> 2021-2027 w Polsce</w:t>
            </w:r>
          </w:p>
          <w:p w:rsidR="00A06425" w:rsidRPr="00A06425" w:rsidRDefault="00A06425" w:rsidP="00B871B6">
            <w:pPr>
              <w:spacing w:before="120" w:after="120"/>
              <w:rPr>
                <w:rFonts w:asciiTheme="minorHAnsi" w:hAnsiTheme="minorHAnsi" w:cstheme="minorHAnsi"/>
                <w:b/>
                <w:i/>
                <w:sz w:val="22"/>
                <w:szCs w:val="22"/>
              </w:rPr>
            </w:pPr>
          </w:p>
        </w:tc>
      </w:tr>
      <w:tr w:rsidR="00A06425" w:rsidRPr="00A06425" w:rsidTr="00A06425">
        <w:tc>
          <w:tcPr>
            <w:tcW w:w="562" w:type="dxa"/>
            <w:shd w:val="clear" w:color="auto" w:fill="auto"/>
            <w:vAlign w:val="center"/>
          </w:tcPr>
          <w:p w:rsidR="00A06425" w:rsidRPr="00A06425" w:rsidRDefault="00A06425" w:rsidP="004D086F">
            <w:pPr>
              <w:jc w:val="center"/>
              <w:rPr>
                <w:rFonts w:asciiTheme="minorHAnsi" w:hAnsiTheme="minorHAnsi" w:cstheme="minorHAnsi"/>
                <w:b/>
                <w:sz w:val="22"/>
                <w:szCs w:val="22"/>
              </w:rPr>
            </w:pPr>
            <w:r>
              <w:rPr>
                <w:rFonts w:asciiTheme="minorHAnsi" w:hAnsiTheme="minorHAnsi" w:cstheme="minorHAnsi"/>
                <w:b/>
                <w:sz w:val="22"/>
                <w:szCs w:val="22"/>
              </w:rPr>
              <w:t>L</w:t>
            </w:r>
            <w:r w:rsidRPr="00A06425">
              <w:rPr>
                <w:rFonts w:asciiTheme="minorHAnsi" w:hAnsiTheme="minorHAnsi" w:cstheme="minorHAnsi"/>
                <w:b/>
                <w:sz w:val="22"/>
                <w:szCs w:val="22"/>
              </w:rPr>
              <w:t>p.</w:t>
            </w:r>
          </w:p>
        </w:tc>
        <w:tc>
          <w:tcPr>
            <w:tcW w:w="1134" w:type="dxa"/>
            <w:shd w:val="clear" w:color="auto" w:fill="auto"/>
            <w:vAlign w:val="center"/>
          </w:tcPr>
          <w:p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Organ wnoszący uwagi</w:t>
            </w:r>
          </w:p>
        </w:tc>
        <w:tc>
          <w:tcPr>
            <w:tcW w:w="1843" w:type="dxa"/>
            <w:shd w:val="clear" w:color="auto" w:fill="auto"/>
            <w:vAlign w:val="center"/>
          </w:tcPr>
          <w:p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Jednostka redakcyjna, do której wnoszone są uwagi</w:t>
            </w:r>
          </w:p>
        </w:tc>
        <w:tc>
          <w:tcPr>
            <w:tcW w:w="4678" w:type="dxa"/>
            <w:shd w:val="clear" w:color="auto" w:fill="auto"/>
            <w:vAlign w:val="center"/>
          </w:tcPr>
          <w:p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Treść uwagi</w:t>
            </w:r>
          </w:p>
        </w:tc>
        <w:tc>
          <w:tcPr>
            <w:tcW w:w="5812" w:type="dxa"/>
            <w:shd w:val="clear" w:color="auto" w:fill="auto"/>
            <w:vAlign w:val="center"/>
          </w:tcPr>
          <w:p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Propozycja zmian zapisu</w:t>
            </w:r>
          </w:p>
        </w:tc>
        <w:tc>
          <w:tcPr>
            <w:tcW w:w="1359" w:type="dxa"/>
            <w:vAlign w:val="center"/>
          </w:tcPr>
          <w:p w:rsidR="00A06425" w:rsidRPr="00A06425" w:rsidRDefault="00A06425" w:rsidP="00A06425">
            <w:pPr>
              <w:jc w:val="center"/>
              <w:rPr>
                <w:rFonts w:asciiTheme="minorHAnsi" w:hAnsiTheme="minorHAnsi" w:cstheme="minorHAnsi"/>
                <w:b/>
                <w:sz w:val="22"/>
                <w:szCs w:val="22"/>
              </w:rPr>
            </w:pPr>
            <w:r w:rsidRPr="00A06425">
              <w:rPr>
                <w:rFonts w:asciiTheme="minorHAnsi" w:hAnsiTheme="minorHAnsi" w:cstheme="minorHAnsi"/>
                <w:b/>
                <w:sz w:val="22"/>
                <w:szCs w:val="22"/>
              </w:rPr>
              <w:t>Odniesienie do uwagi</w:t>
            </w:r>
          </w:p>
        </w:tc>
      </w:tr>
      <w:tr w:rsidR="00B468F9" w:rsidRPr="00A06425" w:rsidTr="00A06425">
        <w:tc>
          <w:tcPr>
            <w:tcW w:w="562" w:type="dxa"/>
            <w:shd w:val="clear" w:color="auto" w:fill="auto"/>
            <w:vAlign w:val="center"/>
          </w:tcPr>
          <w:p w:rsidR="00B468F9" w:rsidRDefault="00B468F9" w:rsidP="004D086F">
            <w:pPr>
              <w:jc w:val="center"/>
              <w:rPr>
                <w:rFonts w:asciiTheme="minorHAnsi" w:hAnsiTheme="minorHAnsi" w:cstheme="minorHAnsi"/>
                <w:b/>
                <w:sz w:val="22"/>
                <w:szCs w:val="22"/>
              </w:rPr>
            </w:pPr>
            <w:r>
              <w:rPr>
                <w:rFonts w:asciiTheme="minorHAnsi" w:hAnsiTheme="minorHAnsi" w:cstheme="minorHAnsi"/>
                <w:b/>
                <w:sz w:val="22"/>
                <w:szCs w:val="22"/>
              </w:rPr>
              <w:t>1</w:t>
            </w:r>
          </w:p>
        </w:tc>
        <w:tc>
          <w:tcPr>
            <w:tcW w:w="1134" w:type="dxa"/>
            <w:shd w:val="clear" w:color="auto" w:fill="auto"/>
            <w:vAlign w:val="center"/>
          </w:tcPr>
          <w:p w:rsidR="00B468F9" w:rsidRPr="00A06425" w:rsidRDefault="006568EE" w:rsidP="004D086F">
            <w:pPr>
              <w:jc w:val="center"/>
              <w:rPr>
                <w:rFonts w:asciiTheme="minorHAnsi" w:hAnsiTheme="minorHAnsi" w:cstheme="minorHAnsi"/>
                <w:b/>
                <w:sz w:val="22"/>
                <w:szCs w:val="22"/>
              </w:rPr>
            </w:pPr>
            <w:r>
              <w:rPr>
                <w:rFonts w:asciiTheme="minorHAnsi" w:hAnsiTheme="minorHAnsi" w:cstheme="minorHAnsi"/>
                <w:b/>
                <w:sz w:val="22"/>
                <w:szCs w:val="22"/>
              </w:rPr>
              <w:t>MF</w:t>
            </w:r>
          </w:p>
        </w:tc>
        <w:tc>
          <w:tcPr>
            <w:tcW w:w="1843" w:type="dxa"/>
            <w:shd w:val="clear" w:color="auto" w:fill="auto"/>
            <w:vAlign w:val="center"/>
          </w:tcPr>
          <w:p w:rsidR="00B468F9" w:rsidRPr="00A06425" w:rsidRDefault="006568EE" w:rsidP="00C76185">
            <w:pPr>
              <w:jc w:val="center"/>
              <w:rPr>
                <w:rFonts w:asciiTheme="minorHAnsi" w:hAnsiTheme="minorHAnsi" w:cstheme="minorHAnsi"/>
                <w:b/>
                <w:sz w:val="22"/>
                <w:szCs w:val="22"/>
              </w:rPr>
            </w:pPr>
            <w:r>
              <w:rPr>
                <w:rFonts w:asciiTheme="minorHAnsi" w:hAnsiTheme="minorHAnsi" w:cstheme="minorHAnsi"/>
                <w:b/>
                <w:sz w:val="22"/>
                <w:szCs w:val="22"/>
              </w:rPr>
              <w:t>s. 9</w:t>
            </w:r>
            <w:r w:rsidR="00C76185">
              <w:rPr>
                <w:rFonts w:asciiTheme="minorHAnsi" w:hAnsiTheme="minorHAnsi" w:cstheme="minorHAnsi"/>
                <w:b/>
                <w:sz w:val="22"/>
                <w:szCs w:val="22"/>
              </w:rPr>
              <w:t xml:space="preserve"> </w:t>
            </w:r>
            <w:r w:rsidR="00C76185" w:rsidRPr="00F11E13">
              <w:rPr>
                <w:rFonts w:asciiTheme="minorHAnsi" w:hAnsiTheme="minorHAnsi" w:cstheme="minorHAnsi"/>
                <w:b/>
                <w:sz w:val="22"/>
                <w:szCs w:val="22"/>
              </w:rPr>
              <w:t>projektu Umowy Partnerstwa dla realizacji Polityki Spójności 2021-2027 w Polsce</w:t>
            </w:r>
            <w:r>
              <w:rPr>
                <w:rFonts w:asciiTheme="minorHAnsi" w:hAnsiTheme="minorHAnsi" w:cstheme="minorHAnsi"/>
                <w:b/>
                <w:sz w:val="22"/>
                <w:szCs w:val="22"/>
              </w:rPr>
              <w:t xml:space="preserve"> </w:t>
            </w:r>
            <w:bookmarkStart w:id="0" w:name="_GoBack"/>
            <w:bookmarkEnd w:id="0"/>
          </w:p>
        </w:tc>
        <w:tc>
          <w:tcPr>
            <w:tcW w:w="4678" w:type="dxa"/>
            <w:shd w:val="clear" w:color="auto" w:fill="auto"/>
            <w:vAlign w:val="center"/>
          </w:tcPr>
          <w:p w:rsidR="006568EE" w:rsidRDefault="006568EE" w:rsidP="006568EE">
            <w:pPr>
              <w:jc w:val="center"/>
              <w:rPr>
                <w:rFonts w:ascii="Calibri" w:hAnsi="Calibri" w:cs="Calibri"/>
                <w:color w:val="000000"/>
                <w:sz w:val="22"/>
                <w:szCs w:val="22"/>
              </w:rPr>
            </w:pPr>
            <w:r>
              <w:rPr>
                <w:rFonts w:ascii="Calibri" w:hAnsi="Calibri" w:cs="Calibri"/>
                <w:color w:val="000000"/>
                <w:sz w:val="22"/>
                <w:szCs w:val="22"/>
              </w:rPr>
              <w:t>Zapewnienie trwałego wzrostu polskiej gospodarki i zwiększenie jej konkurencyjności wymaga podnoszenia innowacyjności przedsiębiorstw, która jest niezbędna dla poprawy produktywności i uzyskania pozytywnej zmiany strukturalnej w gospodarce (</w:t>
            </w:r>
          </w:p>
          <w:p w:rsidR="00B468F9" w:rsidRPr="00A06425" w:rsidRDefault="00B468F9" w:rsidP="004D086F">
            <w:pPr>
              <w:jc w:val="center"/>
              <w:rPr>
                <w:rFonts w:asciiTheme="minorHAnsi" w:hAnsiTheme="minorHAnsi" w:cstheme="minorHAnsi"/>
                <w:b/>
                <w:sz w:val="22"/>
                <w:szCs w:val="22"/>
              </w:rPr>
            </w:pPr>
          </w:p>
        </w:tc>
        <w:tc>
          <w:tcPr>
            <w:tcW w:w="5812" w:type="dxa"/>
            <w:shd w:val="clear" w:color="auto" w:fill="auto"/>
            <w:vAlign w:val="center"/>
          </w:tcPr>
          <w:p w:rsidR="006568EE" w:rsidRDefault="006568EE" w:rsidP="006568EE">
            <w:pPr>
              <w:jc w:val="center"/>
              <w:rPr>
                <w:rFonts w:ascii="Calibri" w:hAnsi="Calibri" w:cs="Calibri"/>
                <w:color w:val="000000"/>
                <w:sz w:val="22"/>
                <w:szCs w:val="22"/>
              </w:rPr>
            </w:pPr>
            <w:r>
              <w:rPr>
                <w:rFonts w:ascii="Calibri" w:hAnsi="Calibri" w:cs="Calibri"/>
                <w:color w:val="000000"/>
                <w:sz w:val="22"/>
                <w:szCs w:val="22"/>
              </w:rPr>
              <w:t xml:space="preserve">Dostarczenie tym firmom kapitału w celu pobudzenia i utrzymania tendencji wzrostowej, co w konsekwencji pozwoli na budowanie potencjału rozwojowego, w tym rozwoju opartego na innowacjach. </w:t>
            </w:r>
          </w:p>
          <w:p w:rsidR="00B468F9" w:rsidRPr="00A06425" w:rsidRDefault="00B468F9" w:rsidP="004D086F">
            <w:pPr>
              <w:jc w:val="center"/>
              <w:rPr>
                <w:rFonts w:asciiTheme="minorHAnsi" w:hAnsiTheme="minorHAnsi" w:cstheme="minorHAnsi"/>
                <w:b/>
                <w:sz w:val="22"/>
                <w:szCs w:val="22"/>
              </w:rPr>
            </w:pPr>
          </w:p>
        </w:tc>
        <w:tc>
          <w:tcPr>
            <w:tcW w:w="1359" w:type="dxa"/>
            <w:vAlign w:val="center"/>
          </w:tcPr>
          <w:p w:rsidR="00B468F9" w:rsidRPr="00A06425" w:rsidRDefault="00B468F9" w:rsidP="00A06425">
            <w:pPr>
              <w:jc w:val="center"/>
              <w:rPr>
                <w:rFonts w:asciiTheme="minorHAnsi" w:hAnsiTheme="minorHAnsi" w:cstheme="minorHAnsi"/>
                <w:b/>
                <w:sz w:val="22"/>
                <w:szCs w:val="22"/>
              </w:rPr>
            </w:pPr>
          </w:p>
        </w:tc>
      </w:tr>
      <w:tr w:rsidR="00B468F9" w:rsidRPr="00A06425" w:rsidTr="00A06425">
        <w:tc>
          <w:tcPr>
            <w:tcW w:w="562" w:type="dxa"/>
            <w:shd w:val="clear" w:color="auto" w:fill="auto"/>
            <w:vAlign w:val="center"/>
          </w:tcPr>
          <w:p w:rsidR="00B468F9" w:rsidRDefault="00B468F9" w:rsidP="004D086F">
            <w:pPr>
              <w:jc w:val="center"/>
              <w:rPr>
                <w:rFonts w:asciiTheme="minorHAnsi" w:hAnsiTheme="minorHAnsi" w:cstheme="minorHAnsi"/>
                <w:b/>
                <w:sz w:val="22"/>
                <w:szCs w:val="22"/>
              </w:rPr>
            </w:pPr>
            <w:r>
              <w:rPr>
                <w:rFonts w:asciiTheme="minorHAnsi" w:hAnsiTheme="minorHAnsi" w:cstheme="minorHAnsi"/>
                <w:b/>
                <w:sz w:val="22"/>
                <w:szCs w:val="22"/>
              </w:rPr>
              <w:t>2</w:t>
            </w:r>
          </w:p>
        </w:tc>
        <w:tc>
          <w:tcPr>
            <w:tcW w:w="1134" w:type="dxa"/>
            <w:shd w:val="clear" w:color="auto" w:fill="auto"/>
            <w:vAlign w:val="center"/>
          </w:tcPr>
          <w:p w:rsidR="00B468F9" w:rsidRPr="00A06425" w:rsidRDefault="006568EE" w:rsidP="004D086F">
            <w:pPr>
              <w:jc w:val="center"/>
              <w:rPr>
                <w:rFonts w:asciiTheme="minorHAnsi" w:hAnsiTheme="minorHAnsi" w:cstheme="minorHAnsi"/>
                <w:b/>
                <w:sz w:val="22"/>
                <w:szCs w:val="22"/>
              </w:rPr>
            </w:pPr>
            <w:r>
              <w:rPr>
                <w:rFonts w:asciiTheme="minorHAnsi" w:hAnsiTheme="minorHAnsi" w:cstheme="minorHAnsi"/>
                <w:b/>
                <w:sz w:val="22"/>
                <w:szCs w:val="22"/>
              </w:rPr>
              <w:t>MF</w:t>
            </w:r>
          </w:p>
        </w:tc>
        <w:tc>
          <w:tcPr>
            <w:tcW w:w="1843" w:type="dxa"/>
            <w:shd w:val="clear" w:color="auto" w:fill="auto"/>
            <w:vAlign w:val="center"/>
          </w:tcPr>
          <w:p w:rsidR="00B468F9" w:rsidRPr="00A06425" w:rsidRDefault="006568EE" w:rsidP="004D086F">
            <w:pPr>
              <w:jc w:val="center"/>
              <w:rPr>
                <w:rFonts w:asciiTheme="minorHAnsi" w:hAnsiTheme="minorHAnsi" w:cstheme="minorHAnsi"/>
                <w:b/>
                <w:sz w:val="22"/>
                <w:szCs w:val="22"/>
              </w:rPr>
            </w:pPr>
            <w:r>
              <w:rPr>
                <w:rFonts w:asciiTheme="minorHAnsi" w:hAnsiTheme="minorHAnsi" w:cstheme="minorHAnsi"/>
                <w:b/>
                <w:sz w:val="22"/>
                <w:szCs w:val="22"/>
              </w:rPr>
              <w:t>s. 9</w:t>
            </w:r>
          </w:p>
        </w:tc>
        <w:tc>
          <w:tcPr>
            <w:tcW w:w="4678" w:type="dxa"/>
            <w:shd w:val="clear" w:color="auto" w:fill="auto"/>
            <w:vAlign w:val="center"/>
          </w:tcPr>
          <w:p w:rsidR="006568EE" w:rsidRDefault="006568EE" w:rsidP="006568EE">
            <w:pPr>
              <w:jc w:val="center"/>
              <w:rPr>
                <w:rFonts w:ascii="Calibri" w:hAnsi="Calibri" w:cs="Calibri"/>
                <w:color w:val="000000"/>
                <w:sz w:val="22"/>
                <w:szCs w:val="22"/>
              </w:rPr>
            </w:pPr>
            <w:r>
              <w:rPr>
                <w:rFonts w:ascii="Calibri" w:hAnsi="Calibri" w:cs="Calibri"/>
                <w:color w:val="000000"/>
                <w:sz w:val="22"/>
                <w:szCs w:val="22"/>
              </w:rPr>
              <w:t>Z kolei zalecenia Rady UE dla Polski w 2020 r.7 odwołują się do wyzwań wynikających z kryzysu gospodarczego będącego następstwem pandemii COVID-19, wskazując w szczególności (w obszarach powiązanych tematycznie z celem polityki 1) na potrzebę zapewnienia przedsiębiorstwom dostępu do finansowania i płynności.</w:t>
            </w:r>
          </w:p>
          <w:p w:rsidR="00B468F9" w:rsidRPr="00A06425" w:rsidRDefault="00B468F9" w:rsidP="004D086F">
            <w:pPr>
              <w:jc w:val="center"/>
              <w:rPr>
                <w:rFonts w:asciiTheme="minorHAnsi" w:hAnsiTheme="minorHAnsi" w:cstheme="minorHAnsi"/>
                <w:b/>
                <w:sz w:val="22"/>
                <w:szCs w:val="22"/>
              </w:rPr>
            </w:pPr>
          </w:p>
        </w:tc>
        <w:tc>
          <w:tcPr>
            <w:tcW w:w="5812" w:type="dxa"/>
            <w:shd w:val="clear" w:color="auto" w:fill="auto"/>
            <w:vAlign w:val="center"/>
          </w:tcPr>
          <w:p w:rsidR="006568EE" w:rsidRDefault="006568EE" w:rsidP="006568EE">
            <w:pPr>
              <w:jc w:val="center"/>
              <w:rPr>
                <w:rFonts w:ascii="Calibri" w:hAnsi="Calibri" w:cs="Calibri"/>
                <w:color w:val="000000"/>
                <w:sz w:val="22"/>
                <w:szCs w:val="22"/>
              </w:rPr>
            </w:pPr>
            <w:r>
              <w:rPr>
                <w:rFonts w:ascii="Calibri" w:hAnsi="Calibri" w:cs="Calibri"/>
                <w:color w:val="000000"/>
                <w:sz w:val="22"/>
                <w:szCs w:val="22"/>
              </w:rPr>
              <w:t>Dostęp do finansowania dłużnego i płynności powinien być w większym stopniu zapewniany poprzez wykorzystywanie instrumentów finansowych, w tym za pomocą produktów gwarancyjnych i mieszanych, które charakteryzują się najwyższym współczynnikiem mnożnikowym w stosunku do zaangażowanych środków publicznych.</w:t>
            </w:r>
          </w:p>
          <w:p w:rsidR="00B468F9" w:rsidRPr="00A06425" w:rsidRDefault="00B468F9" w:rsidP="004D086F">
            <w:pPr>
              <w:jc w:val="center"/>
              <w:rPr>
                <w:rFonts w:asciiTheme="minorHAnsi" w:hAnsiTheme="minorHAnsi" w:cstheme="minorHAnsi"/>
                <w:b/>
                <w:sz w:val="22"/>
                <w:szCs w:val="22"/>
              </w:rPr>
            </w:pPr>
          </w:p>
        </w:tc>
        <w:tc>
          <w:tcPr>
            <w:tcW w:w="1359" w:type="dxa"/>
            <w:vAlign w:val="center"/>
          </w:tcPr>
          <w:p w:rsidR="00B468F9" w:rsidRPr="00A06425" w:rsidRDefault="00B468F9" w:rsidP="00A06425">
            <w:pPr>
              <w:jc w:val="center"/>
              <w:rPr>
                <w:rFonts w:asciiTheme="minorHAnsi" w:hAnsiTheme="minorHAnsi" w:cstheme="minorHAnsi"/>
                <w:b/>
                <w:sz w:val="22"/>
                <w:szCs w:val="22"/>
              </w:rPr>
            </w:pPr>
          </w:p>
        </w:tc>
      </w:tr>
      <w:tr w:rsidR="00B468F9" w:rsidRPr="00A06425" w:rsidTr="00A06425">
        <w:tc>
          <w:tcPr>
            <w:tcW w:w="562" w:type="dxa"/>
            <w:shd w:val="clear" w:color="auto" w:fill="auto"/>
            <w:vAlign w:val="center"/>
          </w:tcPr>
          <w:p w:rsidR="00B468F9" w:rsidRDefault="006568EE" w:rsidP="004D086F">
            <w:pPr>
              <w:jc w:val="center"/>
              <w:rPr>
                <w:rFonts w:asciiTheme="minorHAnsi" w:hAnsiTheme="minorHAnsi" w:cstheme="minorHAnsi"/>
                <w:b/>
                <w:sz w:val="22"/>
                <w:szCs w:val="22"/>
              </w:rPr>
            </w:pPr>
            <w:r>
              <w:rPr>
                <w:rFonts w:asciiTheme="minorHAnsi" w:hAnsiTheme="minorHAnsi" w:cstheme="minorHAnsi"/>
                <w:b/>
                <w:sz w:val="22"/>
                <w:szCs w:val="22"/>
              </w:rPr>
              <w:t>3</w:t>
            </w:r>
          </w:p>
        </w:tc>
        <w:tc>
          <w:tcPr>
            <w:tcW w:w="1134" w:type="dxa"/>
            <w:shd w:val="clear" w:color="auto" w:fill="auto"/>
            <w:vAlign w:val="center"/>
          </w:tcPr>
          <w:p w:rsidR="00B468F9" w:rsidRPr="00A06425" w:rsidRDefault="006568EE" w:rsidP="004D086F">
            <w:pPr>
              <w:jc w:val="center"/>
              <w:rPr>
                <w:rFonts w:asciiTheme="minorHAnsi" w:hAnsiTheme="minorHAnsi" w:cstheme="minorHAnsi"/>
                <w:b/>
                <w:sz w:val="22"/>
                <w:szCs w:val="22"/>
              </w:rPr>
            </w:pPr>
            <w:r>
              <w:rPr>
                <w:rFonts w:asciiTheme="minorHAnsi" w:hAnsiTheme="minorHAnsi" w:cstheme="minorHAnsi"/>
                <w:b/>
                <w:sz w:val="22"/>
                <w:szCs w:val="22"/>
              </w:rPr>
              <w:t>MF</w:t>
            </w:r>
          </w:p>
        </w:tc>
        <w:tc>
          <w:tcPr>
            <w:tcW w:w="1843" w:type="dxa"/>
            <w:shd w:val="clear" w:color="auto" w:fill="auto"/>
            <w:vAlign w:val="center"/>
          </w:tcPr>
          <w:p w:rsidR="00B468F9" w:rsidRPr="00A06425" w:rsidRDefault="006568EE" w:rsidP="004D086F">
            <w:pPr>
              <w:jc w:val="center"/>
              <w:rPr>
                <w:rFonts w:asciiTheme="minorHAnsi" w:hAnsiTheme="minorHAnsi" w:cstheme="minorHAnsi"/>
                <w:b/>
                <w:sz w:val="22"/>
                <w:szCs w:val="22"/>
              </w:rPr>
            </w:pPr>
            <w:r>
              <w:rPr>
                <w:rFonts w:asciiTheme="minorHAnsi" w:hAnsiTheme="minorHAnsi" w:cstheme="minorHAnsi"/>
                <w:b/>
                <w:sz w:val="22"/>
                <w:szCs w:val="22"/>
              </w:rPr>
              <w:t>s.10</w:t>
            </w:r>
          </w:p>
        </w:tc>
        <w:tc>
          <w:tcPr>
            <w:tcW w:w="4678" w:type="dxa"/>
            <w:shd w:val="clear" w:color="auto" w:fill="auto"/>
            <w:vAlign w:val="center"/>
          </w:tcPr>
          <w:p w:rsidR="006568EE" w:rsidRDefault="006568EE" w:rsidP="006568EE">
            <w:pPr>
              <w:jc w:val="center"/>
              <w:rPr>
                <w:rFonts w:ascii="Calibri" w:hAnsi="Calibri" w:cs="Calibri"/>
                <w:color w:val="000000"/>
                <w:sz w:val="22"/>
                <w:szCs w:val="22"/>
              </w:rPr>
            </w:pPr>
            <w:r>
              <w:rPr>
                <w:rFonts w:ascii="Calibri" w:hAnsi="Calibri" w:cs="Calibri"/>
                <w:color w:val="000000"/>
                <w:sz w:val="22"/>
                <w:szCs w:val="22"/>
              </w:rPr>
              <w:t>Biorąc pod uwagę powyższe wyzwania, głównym celem interwencji w obszarze CP1 będzie wzrost produktywności polskiej gospodarki. Proces ten wymaga podjęcia równoległego działania na trzech uzupełniających się płaszczyznach. Pierwszą z nich jest wzrost wykorzystania nowoczesnych rozwiązań technologicznych we wszystkich sektorach gospodarki.</w:t>
            </w:r>
          </w:p>
          <w:p w:rsidR="00B468F9" w:rsidRPr="00A06425" w:rsidRDefault="00B468F9" w:rsidP="004D086F">
            <w:pPr>
              <w:jc w:val="center"/>
              <w:rPr>
                <w:rFonts w:asciiTheme="minorHAnsi" w:hAnsiTheme="minorHAnsi" w:cstheme="minorHAnsi"/>
                <w:b/>
                <w:sz w:val="22"/>
                <w:szCs w:val="22"/>
              </w:rPr>
            </w:pPr>
          </w:p>
        </w:tc>
        <w:tc>
          <w:tcPr>
            <w:tcW w:w="5812" w:type="dxa"/>
            <w:shd w:val="clear" w:color="auto" w:fill="auto"/>
            <w:vAlign w:val="center"/>
          </w:tcPr>
          <w:p w:rsidR="006568EE" w:rsidRDefault="006568EE" w:rsidP="006568EE">
            <w:pPr>
              <w:jc w:val="center"/>
              <w:rPr>
                <w:rFonts w:ascii="Calibri" w:hAnsi="Calibri" w:cs="Calibri"/>
                <w:color w:val="000000"/>
                <w:sz w:val="22"/>
                <w:szCs w:val="22"/>
              </w:rPr>
            </w:pPr>
            <w:r>
              <w:rPr>
                <w:rFonts w:ascii="Calibri" w:hAnsi="Calibri" w:cs="Calibri"/>
                <w:color w:val="000000"/>
                <w:sz w:val="22"/>
                <w:szCs w:val="22"/>
              </w:rPr>
              <w:t xml:space="preserve">W związku z tym istotne jest stworzenie zachęt, aby w większym niż dotychczas stopniu projekty były prefinansowane przy pomocy pożyczek i kredytów. </w:t>
            </w:r>
          </w:p>
          <w:p w:rsidR="00B468F9" w:rsidRPr="00A06425" w:rsidRDefault="00B468F9" w:rsidP="004D086F">
            <w:pPr>
              <w:jc w:val="center"/>
              <w:rPr>
                <w:rFonts w:asciiTheme="minorHAnsi" w:hAnsiTheme="minorHAnsi" w:cstheme="minorHAnsi"/>
                <w:b/>
                <w:sz w:val="22"/>
                <w:szCs w:val="22"/>
              </w:rPr>
            </w:pPr>
          </w:p>
        </w:tc>
        <w:tc>
          <w:tcPr>
            <w:tcW w:w="1359" w:type="dxa"/>
            <w:vAlign w:val="center"/>
          </w:tcPr>
          <w:p w:rsidR="00B468F9" w:rsidRPr="00A06425" w:rsidRDefault="00B468F9" w:rsidP="00A06425">
            <w:pPr>
              <w:jc w:val="center"/>
              <w:rPr>
                <w:rFonts w:asciiTheme="minorHAnsi" w:hAnsiTheme="minorHAnsi" w:cstheme="minorHAnsi"/>
                <w:b/>
                <w:sz w:val="22"/>
                <w:szCs w:val="22"/>
              </w:rPr>
            </w:pPr>
          </w:p>
        </w:tc>
      </w:tr>
      <w:tr w:rsidR="00B468F9" w:rsidRPr="00A06425" w:rsidTr="00A06425">
        <w:tc>
          <w:tcPr>
            <w:tcW w:w="562" w:type="dxa"/>
            <w:shd w:val="clear" w:color="auto" w:fill="auto"/>
            <w:vAlign w:val="center"/>
          </w:tcPr>
          <w:p w:rsidR="00B468F9" w:rsidRDefault="006568EE" w:rsidP="004D086F">
            <w:pPr>
              <w:jc w:val="center"/>
              <w:rPr>
                <w:rFonts w:asciiTheme="minorHAnsi" w:hAnsiTheme="minorHAnsi" w:cstheme="minorHAnsi"/>
                <w:b/>
                <w:sz w:val="22"/>
                <w:szCs w:val="22"/>
              </w:rPr>
            </w:pPr>
            <w:r>
              <w:rPr>
                <w:rFonts w:asciiTheme="minorHAnsi" w:hAnsiTheme="minorHAnsi" w:cstheme="minorHAnsi"/>
                <w:b/>
                <w:sz w:val="22"/>
                <w:szCs w:val="22"/>
              </w:rPr>
              <w:t>4</w:t>
            </w:r>
          </w:p>
        </w:tc>
        <w:tc>
          <w:tcPr>
            <w:tcW w:w="1134" w:type="dxa"/>
            <w:shd w:val="clear" w:color="auto" w:fill="auto"/>
            <w:vAlign w:val="center"/>
          </w:tcPr>
          <w:p w:rsidR="00B468F9" w:rsidRPr="00A06425" w:rsidRDefault="006568EE" w:rsidP="004D086F">
            <w:pPr>
              <w:jc w:val="center"/>
              <w:rPr>
                <w:rFonts w:asciiTheme="minorHAnsi" w:hAnsiTheme="minorHAnsi" w:cstheme="minorHAnsi"/>
                <w:b/>
                <w:sz w:val="22"/>
                <w:szCs w:val="22"/>
              </w:rPr>
            </w:pPr>
            <w:r>
              <w:rPr>
                <w:rFonts w:asciiTheme="minorHAnsi" w:hAnsiTheme="minorHAnsi" w:cstheme="minorHAnsi"/>
                <w:b/>
                <w:sz w:val="22"/>
                <w:szCs w:val="22"/>
              </w:rPr>
              <w:t>MF</w:t>
            </w:r>
          </w:p>
        </w:tc>
        <w:tc>
          <w:tcPr>
            <w:tcW w:w="1843" w:type="dxa"/>
            <w:shd w:val="clear" w:color="auto" w:fill="auto"/>
            <w:vAlign w:val="center"/>
          </w:tcPr>
          <w:p w:rsidR="00B468F9" w:rsidRPr="00A06425" w:rsidRDefault="006568EE" w:rsidP="004D086F">
            <w:pPr>
              <w:jc w:val="center"/>
              <w:rPr>
                <w:rFonts w:asciiTheme="minorHAnsi" w:hAnsiTheme="minorHAnsi" w:cstheme="minorHAnsi"/>
                <w:b/>
                <w:sz w:val="22"/>
                <w:szCs w:val="22"/>
              </w:rPr>
            </w:pPr>
            <w:r>
              <w:rPr>
                <w:rFonts w:asciiTheme="minorHAnsi" w:hAnsiTheme="minorHAnsi" w:cstheme="minorHAnsi"/>
                <w:b/>
                <w:sz w:val="22"/>
                <w:szCs w:val="22"/>
              </w:rPr>
              <w:t>s.10</w:t>
            </w:r>
          </w:p>
        </w:tc>
        <w:tc>
          <w:tcPr>
            <w:tcW w:w="4678" w:type="dxa"/>
            <w:shd w:val="clear" w:color="auto" w:fill="auto"/>
            <w:vAlign w:val="center"/>
          </w:tcPr>
          <w:p w:rsidR="006568EE" w:rsidRDefault="006568EE" w:rsidP="006568EE">
            <w:pPr>
              <w:jc w:val="center"/>
              <w:rPr>
                <w:rFonts w:ascii="Calibri" w:hAnsi="Calibri" w:cs="Calibri"/>
                <w:color w:val="000000"/>
                <w:sz w:val="22"/>
                <w:szCs w:val="22"/>
              </w:rPr>
            </w:pPr>
            <w:r>
              <w:rPr>
                <w:rFonts w:ascii="Calibri" w:hAnsi="Calibri" w:cs="Calibri"/>
                <w:color w:val="000000"/>
                <w:sz w:val="22"/>
                <w:szCs w:val="22"/>
              </w:rPr>
              <w:t xml:space="preserve">Wzrostowi innowacyjności gospodarki służy także transformacja w kierunku GOZ. Wymaga ona innowacyjnego podejścia i rozwoju nowoczesnych technologii szczególnie w zakresie </w:t>
            </w:r>
            <w:r>
              <w:rPr>
                <w:rFonts w:ascii="Calibri" w:hAnsi="Calibri" w:cs="Calibri"/>
                <w:color w:val="000000"/>
                <w:sz w:val="22"/>
                <w:szCs w:val="22"/>
              </w:rPr>
              <w:lastRenderedPageBreak/>
              <w:t>zagospodarowywania odpadów i przetwarzania ich w charakterze surowców wtórnych.</w:t>
            </w:r>
          </w:p>
          <w:p w:rsidR="00B468F9" w:rsidRPr="00A06425" w:rsidRDefault="00B468F9" w:rsidP="004D086F">
            <w:pPr>
              <w:jc w:val="center"/>
              <w:rPr>
                <w:rFonts w:asciiTheme="minorHAnsi" w:hAnsiTheme="minorHAnsi" w:cstheme="minorHAnsi"/>
                <w:b/>
                <w:sz w:val="22"/>
                <w:szCs w:val="22"/>
              </w:rPr>
            </w:pPr>
          </w:p>
        </w:tc>
        <w:tc>
          <w:tcPr>
            <w:tcW w:w="5812" w:type="dxa"/>
            <w:shd w:val="clear" w:color="auto" w:fill="auto"/>
            <w:vAlign w:val="center"/>
          </w:tcPr>
          <w:p w:rsidR="006568EE" w:rsidRDefault="006568EE" w:rsidP="006568EE">
            <w:pPr>
              <w:jc w:val="center"/>
              <w:rPr>
                <w:rFonts w:ascii="Calibri" w:hAnsi="Calibri" w:cs="Calibri"/>
                <w:color w:val="000000"/>
                <w:sz w:val="22"/>
                <w:szCs w:val="22"/>
              </w:rPr>
            </w:pPr>
            <w:r>
              <w:rPr>
                <w:rFonts w:ascii="Calibri" w:hAnsi="Calibri" w:cs="Calibri"/>
                <w:color w:val="000000"/>
                <w:sz w:val="22"/>
                <w:szCs w:val="22"/>
              </w:rPr>
              <w:lastRenderedPageBreak/>
              <w:t xml:space="preserve">Innowacje proekologiczne powinny być szerzej zdefiniowane. Oprócz GOZ warto dodać OZE, technologie energooszczędne w procesach produkcyjnych, </w:t>
            </w:r>
            <w:proofErr w:type="spellStart"/>
            <w:r>
              <w:rPr>
                <w:rFonts w:ascii="Calibri" w:hAnsi="Calibri" w:cs="Calibri"/>
                <w:color w:val="000000"/>
                <w:sz w:val="22"/>
                <w:szCs w:val="22"/>
              </w:rPr>
              <w:t>elektromobilność</w:t>
            </w:r>
            <w:proofErr w:type="spellEnd"/>
            <w:r>
              <w:rPr>
                <w:rFonts w:ascii="Calibri" w:hAnsi="Calibri" w:cs="Calibri"/>
                <w:color w:val="000000"/>
                <w:sz w:val="22"/>
                <w:szCs w:val="22"/>
              </w:rPr>
              <w:t xml:space="preserve">, termomodernizacja, kogeneracja, magazynowanie energii. </w:t>
            </w:r>
          </w:p>
          <w:p w:rsidR="00B468F9" w:rsidRPr="00A06425" w:rsidRDefault="00B468F9" w:rsidP="004D086F">
            <w:pPr>
              <w:jc w:val="center"/>
              <w:rPr>
                <w:rFonts w:asciiTheme="minorHAnsi" w:hAnsiTheme="minorHAnsi" w:cstheme="minorHAnsi"/>
                <w:b/>
                <w:sz w:val="22"/>
                <w:szCs w:val="22"/>
              </w:rPr>
            </w:pPr>
          </w:p>
        </w:tc>
        <w:tc>
          <w:tcPr>
            <w:tcW w:w="1359" w:type="dxa"/>
            <w:vAlign w:val="center"/>
          </w:tcPr>
          <w:p w:rsidR="00B468F9" w:rsidRPr="00A06425" w:rsidRDefault="00B468F9" w:rsidP="00A06425">
            <w:pPr>
              <w:jc w:val="center"/>
              <w:rPr>
                <w:rFonts w:asciiTheme="minorHAnsi" w:hAnsiTheme="minorHAnsi" w:cstheme="minorHAnsi"/>
                <w:b/>
                <w:sz w:val="22"/>
                <w:szCs w:val="22"/>
              </w:rPr>
            </w:pPr>
          </w:p>
        </w:tc>
      </w:tr>
      <w:tr w:rsidR="00B468F9" w:rsidRPr="00A06425" w:rsidTr="00A06425">
        <w:tc>
          <w:tcPr>
            <w:tcW w:w="562" w:type="dxa"/>
            <w:shd w:val="clear" w:color="auto" w:fill="auto"/>
            <w:vAlign w:val="center"/>
          </w:tcPr>
          <w:p w:rsidR="00B468F9" w:rsidRDefault="006568EE" w:rsidP="004D086F">
            <w:pPr>
              <w:jc w:val="center"/>
              <w:rPr>
                <w:rFonts w:asciiTheme="minorHAnsi" w:hAnsiTheme="minorHAnsi" w:cstheme="minorHAnsi"/>
                <w:b/>
                <w:sz w:val="22"/>
                <w:szCs w:val="22"/>
              </w:rPr>
            </w:pPr>
            <w:r>
              <w:rPr>
                <w:rFonts w:asciiTheme="minorHAnsi" w:hAnsiTheme="minorHAnsi" w:cstheme="minorHAnsi"/>
                <w:b/>
                <w:sz w:val="22"/>
                <w:szCs w:val="22"/>
              </w:rPr>
              <w:lastRenderedPageBreak/>
              <w:t>5</w:t>
            </w:r>
          </w:p>
        </w:tc>
        <w:tc>
          <w:tcPr>
            <w:tcW w:w="1134" w:type="dxa"/>
            <w:shd w:val="clear" w:color="auto" w:fill="auto"/>
            <w:vAlign w:val="center"/>
          </w:tcPr>
          <w:p w:rsidR="00B468F9" w:rsidRPr="00A06425" w:rsidRDefault="006568EE" w:rsidP="004D086F">
            <w:pPr>
              <w:jc w:val="center"/>
              <w:rPr>
                <w:rFonts w:asciiTheme="minorHAnsi" w:hAnsiTheme="minorHAnsi" w:cstheme="minorHAnsi"/>
                <w:b/>
                <w:sz w:val="22"/>
                <w:szCs w:val="22"/>
              </w:rPr>
            </w:pPr>
            <w:r>
              <w:rPr>
                <w:rFonts w:asciiTheme="minorHAnsi" w:hAnsiTheme="minorHAnsi" w:cstheme="minorHAnsi"/>
                <w:b/>
                <w:sz w:val="22"/>
                <w:szCs w:val="22"/>
              </w:rPr>
              <w:t>MF</w:t>
            </w:r>
          </w:p>
        </w:tc>
        <w:tc>
          <w:tcPr>
            <w:tcW w:w="1843" w:type="dxa"/>
            <w:shd w:val="clear" w:color="auto" w:fill="auto"/>
            <w:vAlign w:val="center"/>
          </w:tcPr>
          <w:p w:rsidR="00B468F9" w:rsidRPr="00A06425" w:rsidRDefault="006568EE" w:rsidP="004D086F">
            <w:pPr>
              <w:jc w:val="center"/>
              <w:rPr>
                <w:rFonts w:asciiTheme="minorHAnsi" w:hAnsiTheme="minorHAnsi" w:cstheme="minorHAnsi"/>
                <w:b/>
                <w:sz w:val="22"/>
                <w:szCs w:val="22"/>
              </w:rPr>
            </w:pPr>
            <w:r>
              <w:rPr>
                <w:rFonts w:asciiTheme="minorHAnsi" w:hAnsiTheme="minorHAnsi" w:cstheme="minorHAnsi"/>
                <w:b/>
                <w:sz w:val="22"/>
                <w:szCs w:val="22"/>
              </w:rPr>
              <w:t>s.10</w:t>
            </w:r>
          </w:p>
        </w:tc>
        <w:tc>
          <w:tcPr>
            <w:tcW w:w="4678" w:type="dxa"/>
            <w:shd w:val="clear" w:color="auto" w:fill="auto"/>
            <w:vAlign w:val="center"/>
          </w:tcPr>
          <w:p w:rsidR="006568EE" w:rsidRDefault="006568EE" w:rsidP="006568EE">
            <w:pPr>
              <w:jc w:val="center"/>
              <w:rPr>
                <w:rFonts w:ascii="Calibri" w:hAnsi="Calibri" w:cs="Calibri"/>
                <w:color w:val="000000"/>
                <w:sz w:val="22"/>
                <w:szCs w:val="22"/>
              </w:rPr>
            </w:pPr>
            <w:r>
              <w:rPr>
                <w:rFonts w:ascii="Calibri" w:hAnsi="Calibri" w:cs="Calibri"/>
                <w:color w:val="000000"/>
                <w:sz w:val="22"/>
                <w:szCs w:val="22"/>
              </w:rPr>
              <w:br/>
              <w:t>- wzmacnianie potencjału przedsiębiorstw i administracji publicznej na rzecz nowoczesnej gospodarki.</w:t>
            </w:r>
          </w:p>
          <w:p w:rsidR="00B468F9" w:rsidRPr="00A06425" w:rsidRDefault="00B468F9" w:rsidP="004D086F">
            <w:pPr>
              <w:jc w:val="center"/>
              <w:rPr>
                <w:rFonts w:asciiTheme="minorHAnsi" w:hAnsiTheme="minorHAnsi" w:cstheme="minorHAnsi"/>
                <w:b/>
                <w:sz w:val="22"/>
                <w:szCs w:val="22"/>
              </w:rPr>
            </w:pPr>
          </w:p>
        </w:tc>
        <w:tc>
          <w:tcPr>
            <w:tcW w:w="5812" w:type="dxa"/>
            <w:shd w:val="clear" w:color="auto" w:fill="auto"/>
            <w:vAlign w:val="center"/>
          </w:tcPr>
          <w:p w:rsidR="00B468F9" w:rsidRPr="006568EE" w:rsidRDefault="006568EE" w:rsidP="004D086F">
            <w:pPr>
              <w:jc w:val="center"/>
              <w:rPr>
                <w:rFonts w:asciiTheme="minorHAnsi" w:hAnsiTheme="minorHAnsi" w:cstheme="minorHAnsi"/>
                <w:sz w:val="22"/>
                <w:szCs w:val="22"/>
              </w:rPr>
            </w:pPr>
            <w:r w:rsidRPr="006568EE">
              <w:rPr>
                <w:rFonts w:asciiTheme="minorHAnsi" w:hAnsiTheme="minorHAnsi" w:cstheme="minorHAnsi"/>
                <w:sz w:val="22"/>
                <w:szCs w:val="22"/>
              </w:rPr>
              <w:t>Należy podkreślić, że wzmacnianie potencjału przedsiębiorstw to nie tylko finansowanie nakładów inwestycyjnych, ale przede wszystkim dostęp do finansowania kapitału obrotowego zapewniającego zarówno dalszych rozwój, jak i bieżące funkcjonowanie na rynku.</w:t>
            </w:r>
          </w:p>
        </w:tc>
        <w:tc>
          <w:tcPr>
            <w:tcW w:w="1359" w:type="dxa"/>
            <w:vAlign w:val="center"/>
          </w:tcPr>
          <w:p w:rsidR="00B468F9" w:rsidRPr="00A06425" w:rsidRDefault="00B468F9" w:rsidP="00A06425">
            <w:pPr>
              <w:jc w:val="center"/>
              <w:rPr>
                <w:rFonts w:asciiTheme="minorHAnsi" w:hAnsiTheme="minorHAnsi" w:cstheme="minorHAnsi"/>
                <w:b/>
                <w:sz w:val="22"/>
                <w:szCs w:val="22"/>
              </w:rPr>
            </w:pPr>
          </w:p>
        </w:tc>
      </w:tr>
      <w:tr w:rsidR="00B468F9" w:rsidRPr="00A06425" w:rsidTr="006568EE">
        <w:trPr>
          <w:trHeight w:val="2494"/>
        </w:trPr>
        <w:tc>
          <w:tcPr>
            <w:tcW w:w="562" w:type="dxa"/>
            <w:shd w:val="clear" w:color="auto" w:fill="auto"/>
            <w:vAlign w:val="center"/>
          </w:tcPr>
          <w:p w:rsidR="00B468F9" w:rsidRDefault="006568EE" w:rsidP="004D086F">
            <w:pPr>
              <w:jc w:val="center"/>
              <w:rPr>
                <w:rFonts w:asciiTheme="minorHAnsi" w:hAnsiTheme="minorHAnsi" w:cstheme="minorHAnsi"/>
                <w:b/>
                <w:sz w:val="22"/>
                <w:szCs w:val="22"/>
              </w:rPr>
            </w:pPr>
            <w:r>
              <w:rPr>
                <w:rFonts w:asciiTheme="minorHAnsi" w:hAnsiTheme="minorHAnsi" w:cstheme="minorHAnsi"/>
                <w:b/>
                <w:sz w:val="22"/>
                <w:szCs w:val="22"/>
              </w:rPr>
              <w:t>6</w:t>
            </w:r>
          </w:p>
        </w:tc>
        <w:tc>
          <w:tcPr>
            <w:tcW w:w="1134" w:type="dxa"/>
            <w:shd w:val="clear" w:color="auto" w:fill="auto"/>
            <w:vAlign w:val="center"/>
          </w:tcPr>
          <w:p w:rsidR="00B468F9" w:rsidRPr="00A06425" w:rsidRDefault="006568EE" w:rsidP="004D086F">
            <w:pPr>
              <w:jc w:val="center"/>
              <w:rPr>
                <w:rFonts w:asciiTheme="minorHAnsi" w:hAnsiTheme="minorHAnsi" w:cstheme="minorHAnsi"/>
                <w:b/>
                <w:sz w:val="22"/>
                <w:szCs w:val="22"/>
              </w:rPr>
            </w:pPr>
            <w:r>
              <w:rPr>
                <w:rFonts w:asciiTheme="minorHAnsi" w:hAnsiTheme="minorHAnsi" w:cstheme="minorHAnsi"/>
                <w:b/>
                <w:sz w:val="22"/>
                <w:szCs w:val="22"/>
              </w:rPr>
              <w:t>MF</w:t>
            </w:r>
          </w:p>
        </w:tc>
        <w:tc>
          <w:tcPr>
            <w:tcW w:w="1843" w:type="dxa"/>
            <w:shd w:val="clear" w:color="auto" w:fill="auto"/>
            <w:vAlign w:val="center"/>
          </w:tcPr>
          <w:p w:rsidR="00B468F9" w:rsidRPr="00A06425" w:rsidRDefault="006568EE" w:rsidP="004D086F">
            <w:pPr>
              <w:jc w:val="center"/>
              <w:rPr>
                <w:rFonts w:asciiTheme="minorHAnsi" w:hAnsiTheme="minorHAnsi" w:cstheme="minorHAnsi"/>
                <w:b/>
                <w:sz w:val="22"/>
                <w:szCs w:val="22"/>
              </w:rPr>
            </w:pPr>
            <w:r>
              <w:rPr>
                <w:rFonts w:asciiTheme="minorHAnsi" w:hAnsiTheme="minorHAnsi" w:cstheme="minorHAnsi"/>
                <w:b/>
                <w:sz w:val="22"/>
                <w:szCs w:val="22"/>
              </w:rPr>
              <w:t>s.12</w:t>
            </w:r>
          </w:p>
        </w:tc>
        <w:tc>
          <w:tcPr>
            <w:tcW w:w="4678" w:type="dxa"/>
            <w:shd w:val="clear" w:color="auto" w:fill="auto"/>
            <w:vAlign w:val="center"/>
          </w:tcPr>
          <w:p w:rsidR="00B468F9" w:rsidRPr="006568EE" w:rsidRDefault="006568EE" w:rsidP="004D086F">
            <w:pPr>
              <w:jc w:val="center"/>
              <w:rPr>
                <w:rFonts w:asciiTheme="minorHAnsi" w:hAnsiTheme="minorHAnsi" w:cstheme="minorHAnsi"/>
                <w:sz w:val="22"/>
                <w:szCs w:val="22"/>
              </w:rPr>
            </w:pPr>
            <w:r w:rsidRPr="006568EE">
              <w:rPr>
                <w:rFonts w:asciiTheme="minorHAnsi" w:hAnsiTheme="minorHAnsi" w:cstheme="minorHAnsi"/>
                <w:sz w:val="22"/>
                <w:szCs w:val="22"/>
              </w:rPr>
              <w:t>Należy pamiętać, że kluczowe znaczenie dla rozwoju gospodarczego ma nie samo wprowadzanie innowacji, lecz zdolność do wykorzystania ich w procesach gospodarczych dla zwiększenia produktywności i generowania większej wartości dodanej.</w:t>
            </w:r>
          </w:p>
        </w:tc>
        <w:tc>
          <w:tcPr>
            <w:tcW w:w="5812" w:type="dxa"/>
            <w:shd w:val="clear" w:color="auto" w:fill="auto"/>
            <w:vAlign w:val="center"/>
          </w:tcPr>
          <w:p w:rsidR="00B468F9" w:rsidRPr="006568EE" w:rsidRDefault="006568EE" w:rsidP="004D086F">
            <w:pPr>
              <w:jc w:val="center"/>
              <w:rPr>
                <w:rFonts w:asciiTheme="minorHAnsi" w:hAnsiTheme="minorHAnsi" w:cstheme="minorHAnsi"/>
                <w:sz w:val="22"/>
                <w:szCs w:val="22"/>
              </w:rPr>
            </w:pPr>
            <w:r w:rsidRPr="006568EE">
              <w:rPr>
                <w:rFonts w:asciiTheme="minorHAnsi" w:hAnsiTheme="minorHAnsi" w:cstheme="minorHAnsi"/>
                <w:sz w:val="22"/>
                <w:szCs w:val="22"/>
              </w:rPr>
              <w:t>Z tego powodu po zakończeniu fazy inwestycyjnej konieczne jest stworzenie warunków ułatwiających firmom dostęp do kapitału obrotowego przeznaczonego na uruchomienie i utrzymanie produkcji.</w:t>
            </w:r>
          </w:p>
        </w:tc>
        <w:tc>
          <w:tcPr>
            <w:tcW w:w="1359" w:type="dxa"/>
            <w:vAlign w:val="center"/>
          </w:tcPr>
          <w:p w:rsidR="00B468F9" w:rsidRPr="00A06425" w:rsidRDefault="00B468F9" w:rsidP="00A06425">
            <w:pPr>
              <w:jc w:val="center"/>
              <w:rPr>
                <w:rFonts w:asciiTheme="minorHAnsi" w:hAnsiTheme="minorHAnsi" w:cstheme="minorHAnsi"/>
                <w:b/>
                <w:sz w:val="22"/>
                <w:szCs w:val="22"/>
              </w:rPr>
            </w:pPr>
          </w:p>
        </w:tc>
      </w:tr>
      <w:tr w:rsidR="00B468F9" w:rsidRPr="00A06425" w:rsidTr="00A06425">
        <w:tc>
          <w:tcPr>
            <w:tcW w:w="562" w:type="dxa"/>
            <w:shd w:val="clear" w:color="auto" w:fill="auto"/>
            <w:vAlign w:val="center"/>
          </w:tcPr>
          <w:p w:rsidR="00B468F9" w:rsidRDefault="006568EE" w:rsidP="004D086F">
            <w:pPr>
              <w:jc w:val="center"/>
              <w:rPr>
                <w:rFonts w:asciiTheme="minorHAnsi" w:hAnsiTheme="minorHAnsi" w:cstheme="minorHAnsi"/>
                <w:b/>
                <w:sz w:val="22"/>
                <w:szCs w:val="22"/>
              </w:rPr>
            </w:pPr>
            <w:r>
              <w:rPr>
                <w:rFonts w:asciiTheme="minorHAnsi" w:hAnsiTheme="minorHAnsi" w:cstheme="minorHAnsi"/>
                <w:b/>
                <w:sz w:val="22"/>
                <w:szCs w:val="22"/>
              </w:rPr>
              <w:t>7</w:t>
            </w:r>
          </w:p>
        </w:tc>
        <w:tc>
          <w:tcPr>
            <w:tcW w:w="1134" w:type="dxa"/>
            <w:shd w:val="clear" w:color="auto" w:fill="auto"/>
            <w:vAlign w:val="center"/>
          </w:tcPr>
          <w:p w:rsidR="00B468F9" w:rsidRPr="00A06425" w:rsidRDefault="006568EE" w:rsidP="004D086F">
            <w:pPr>
              <w:jc w:val="center"/>
              <w:rPr>
                <w:rFonts w:asciiTheme="minorHAnsi" w:hAnsiTheme="minorHAnsi" w:cstheme="minorHAnsi"/>
                <w:b/>
                <w:sz w:val="22"/>
                <w:szCs w:val="22"/>
              </w:rPr>
            </w:pPr>
            <w:r>
              <w:rPr>
                <w:rFonts w:asciiTheme="minorHAnsi" w:hAnsiTheme="minorHAnsi" w:cstheme="minorHAnsi"/>
                <w:b/>
                <w:sz w:val="22"/>
                <w:szCs w:val="22"/>
              </w:rPr>
              <w:t>MF</w:t>
            </w:r>
          </w:p>
        </w:tc>
        <w:tc>
          <w:tcPr>
            <w:tcW w:w="1843" w:type="dxa"/>
            <w:shd w:val="clear" w:color="auto" w:fill="auto"/>
            <w:vAlign w:val="center"/>
          </w:tcPr>
          <w:p w:rsidR="00B468F9" w:rsidRPr="00A06425" w:rsidRDefault="006568EE" w:rsidP="004D086F">
            <w:pPr>
              <w:jc w:val="center"/>
              <w:rPr>
                <w:rFonts w:asciiTheme="minorHAnsi" w:hAnsiTheme="minorHAnsi" w:cstheme="minorHAnsi"/>
                <w:b/>
                <w:sz w:val="22"/>
                <w:szCs w:val="22"/>
              </w:rPr>
            </w:pPr>
            <w:r>
              <w:rPr>
                <w:rFonts w:asciiTheme="minorHAnsi" w:hAnsiTheme="minorHAnsi" w:cstheme="minorHAnsi"/>
                <w:b/>
                <w:sz w:val="22"/>
                <w:szCs w:val="22"/>
              </w:rPr>
              <w:t>s.12</w:t>
            </w:r>
          </w:p>
        </w:tc>
        <w:tc>
          <w:tcPr>
            <w:tcW w:w="4678" w:type="dxa"/>
            <w:shd w:val="clear" w:color="auto" w:fill="auto"/>
            <w:vAlign w:val="center"/>
          </w:tcPr>
          <w:p w:rsidR="00B468F9" w:rsidRPr="006568EE" w:rsidRDefault="006568EE" w:rsidP="004D086F">
            <w:pPr>
              <w:jc w:val="center"/>
              <w:rPr>
                <w:rFonts w:asciiTheme="minorHAnsi" w:hAnsiTheme="minorHAnsi" w:cstheme="minorHAnsi"/>
                <w:sz w:val="22"/>
                <w:szCs w:val="22"/>
              </w:rPr>
            </w:pPr>
            <w:r w:rsidRPr="006568EE">
              <w:rPr>
                <w:rFonts w:asciiTheme="minorHAnsi" w:hAnsiTheme="minorHAnsi" w:cstheme="minorHAnsi"/>
                <w:sz w:val="22"/>
                <w:szCs w:val="22"/>
              </w:rPr>
              <w:t>Dla osiągnięcia celu dotyczącego wzrostu innowacyjności gospodarki, konieczne jest przede wszystkim wsparcie wszystkich etapów tworzenia innowacji, a zwłaszcza:</w:t>
            </w:r>
          </w:p>
        </w:tc>
        <w:tc>
          <w:tcPr>
            <w:tcW w:w="5812" w:type="dxa"/>
            <w:shd w:val="clear" w:color="auto" w:fill="auto"/>
            <w:vAlign w:val="center"/>
          </w:tcPr>
          <w:p w:rsidR="00B468F9" w:rsidRPr="006568EE" w:rsidRDefault="006568EE" w:rsidP="004D086F">
            <w:pPr>
              <w:jc w:val="center"/>
              <w:rPr>
                <w:rFonts w:asciiTheme="minorHAnsi" w:hAnsiTheme="minorHAnsi" w:cstheme="minorHAnsi"/>
                <w:sz w:val="22"/>
                <w:szCs w:val="22"/>
              </w:rPr>
            </w:pPr>
            <w:r w:rsidRPr="006568EE">
              <w:rPr>
                <w:rFonts w:asciiTheme="minorHAnsi" w:hAnsiTheme="minorHAnsi" w:cstheme="minorHAnsi"/>
                <w:sz w:val="22"/>
                <w:szCs w:val="22"/>
              </w:rPr>
              <w:t>W zakresie wsparcia należy również wyeksponować podnoszenie konkurencyjności oraz budowanie potencjału rozwojowego w dziedzinie innowacyjności. Dofinansowanie firm (inwestycje i kapitał obrotowy) na różnych etapach wzrostu w celu stworzenia warunków pozwalających tym firmom wejść na ścieżkę innowacyjnego rozwoju.</w:t>
            </w:r>
          </w:p>
        </w:tc>
        <w:tc>
          <w:tcPr>
            <w:tcW w:w="1359" w:type="dxa"/>
            <w:vAlign w:val="center"/>
          </w:tcPr>
          <w:p w:rsidR="00B468F9" w:rsidRPr="00A06425" w:rsidRDefault="00B468F9" w:rsidP="00A06425">
            <w:pPr>
              <w:jc w:val="center"/>
              <w:rPr>
                <w:rFonts w:asciiTheme="minorHAnsi" w:hAnsiTheme="minorHAnsi" w:cstheme="minorHAnsi"/>
                <w:b/>
                <w:sz w:val="22"/>
                <w:szCs w:val="22"/>
              </w:rPr>
            </w:pPr>
          </w:p>
        </w:tc>
      </w:tr>
      <w:tr w:rsidR="006568EE" w:rsidRPr="00A06425" w:rsidTr="00A06425">
        <w:tc>
          <w:tcPr>
            <w:tcW w:w="562" w:type="dxa"/>
            <w:shd w:val="clear" w:color="auto" w:fill="auto"/>
            <w:vAlign w:val="center"/>
          </w:tcPr>
          <w:p w:rsidR="006568EE" w:rsidRDefault="006568EE" w:rsidP="004D086F">
            <w:pPr>
              <w:jc w:val="center"/>
              <w:rPr>
                <w:rFonts w:asciiTheme="minorHAnsi" w:hAnsiTheme="minorHAnsi" w:cstheme="minorHAnsi"/>
                <w:b/>
                <w:sz w:val="22"/>
                <w:szCs w:val="22"/>
              </w:rPr>
            </w:pPr>
            <w:r>
              <w:rPr>
                <w:rFonts w:asciiTheme="minorHAnsi" w:hAnsiTheme="minorHAnsi" w:cstheme="minorHAnsi"/>
                <w:b/>
                <w:sz w:val="22"/>
                <w:szCs w:val="22"/>
              </w:rPr>
              <w:t>8</w:t>
            </w:r>
          </w:p>
        </w:tc>
        <w:tc>
          <w:tcPr>
            <w:tcW w:w="1134" w:type="dxa"/>
            <w:shd w:val="clear" w:color="auto" w:fill="auto"/>
            <w:vAlign w:val="center"/>
          </w:tcPr>
          <w:p w:rsidR="006568EE" w:rsidRPr="00A06425" w:rsidRDefault="006568EE" w:rsidP="004D086F">
            <w:pPr>
              <w:jc w:val="center"/>
              <w:rPr>
                <w:rFonts w:asciiTheme="minorHAnsi" w:hAnsiTheme="minorHAnsi" w:cstheme="minorHAnsi"/>
                <w:b/>
                <w:sz w:val="22"/>
                <w:szCs w:val="22"/>
              </w:rPr>
            </w:pPr>
            <w:r>
              <w:rPr>
                <w:rFonts w:asciiTheme="minorHAnsi" w:hAnsiTheme="minorHAnsi" w:cstheme="minorHAnsi"/>
                <w:b/>
                <w:sz w:val="22"/>
                <w:szCs w:val="22"/>
              </w:rPr>
              <w:t>MF</w:t>
            </w:r>
          </w:p>
        </w:tc>
        <w:tc>
          <w:tcPr>
            <w:tcW w:w="1843" w:type="dxa"/>
            <w:shd w:val="clear" w:color="auto" w:fill="auto"/>
            <w:vAlign w:val="center"/>
          </w:tcPr>
          <w:p w:rsidR="006568EE" w:rsidRPr="00A06425" w:rsidRDefault="006568EE" w:rsidP="004D086F">
            <w:pPr>
              <w:jc w:val="center"/>
              <w:rPr>
                <w:rFonts w:asciiTheme="minorHAnsi" w:hAnsiTheme="minorHAnsi" w:cstheme="minorHAnsi"/>
                <w:b/>
                <w:sz w:val="22"/>
                <w:szCs w:val="22"/>
              </w:rPr>
            </w:pPr>
            <w:r>
              <w:rPr>
                <w:rFonts w:asciiTheme="minorHAnsi" w:hAnsiTheme="minorHAnsi" w:cstheme="minorHAnsi"/>
                <w:b/>
                <w:sz w:val="22"/>
                <w:szCs w:val="22"/>
              </w:rPr>
              <w:t>s.14</w:t>
            </w:r>
          </w:p>
        </w:tc>
        <w:tc>
          <w:tcPr>
            <w:tcW w:w="4678" w:type="dxa"/>
            <w:shd w:val="clear" w:color="auto" w:fill="auto"/>
            <w:vAlign w:val="center"/>
          </w:tcPr>
          <w:p w:rsidR="006568EE" w:rsidRPr="006568EE" w:rsidRDefault="006568EE" w:rsidP="004D086F">
            <w:pPr>
              <w:jc w:val="center"/>
              <w:rPr>
                <w:rFonts w:asciiTheme="minorHAnsi" w:hAnsiTheme="minorHAnsi" w:cstheme="minorHAnsi"/>
                <w:sz w:val="22"/>
                <w:szCs w:val="22"/>
              </w:rPr>
            </w:pPr>
            <w:r w:rsidRPr="006568EE">
              <w:rPr>
                <w:rFonts w:asciiTheme="minorHAnsi" w:hAnsiTheme="minorHAnsi" w:cstheme="minorHAnsi"/>
                <w:sz w:val="22"/>
                <w:szCs w:val="22"/>
              </w:rPr>
              <w:t>Realizacja koncepcji inteligentnej specjalizacji przyczyniła się do zwiększenia zaangażowania przedsiębiorstw w określanie celów rozwojowych w obszarach specjalizacji, przy jednoczesnym zwiększeniu nakładów prywatnych na B+R, do dostosowania instrumentów wsparcia publicznego do specyfiki inteligentnych specjalizacji oraz do identyfikacji wyłaniających się specjalizacji.</w:t>
            </w:r>
          </w:p>
        </w:tc>
        <w:tc>
          <w:tcPr>
            <w:tcW w:w="5812" w:type="dxa"/>
            <w:shd w:val="clear" w:color="auto" w:fill="auto"/>
            <w:vAlign w:val="center"/>
          </w:tcPr>
          <w:p w:rsidR="006568EE" w:rsidRPr="006568EE" w:rsidRDefault="006568EE" w:rsidP="004D086F">
            <w:pPr>
              <w:jc w:val="center"/>
              <w:rPr>
                <w:rFonts w:asciiTheme="minorHAnsi" w:hAnsiTheme="minorHAnsi" w:cstheme="minorHAnsi"/>
                <w:sz w:val="22"/>
                <w:szCs w:val="22"/>
              </w:rPr>
            </w:pPr>
            <w:r w:rsidRPr="006568EE">
              <w:rPr>
                <w:rFonts w:asciiTheme="minorHAnsi" w:hAnsiTheme="minorHAnsi" w:cstheme="minorHAnsi"/>
                <w:sz w:val="22"/>
                <w:szCs w:val="22"/>
              </w:rPr>
              <w:t>Instrumenty finansowe nie powinny być powiązane z inteligentnymi specjalizacjami. Takie powiązanie ograniczy ich zastosowanie oraz utrudni rozpowszechnienie wśród potencjalnych odbiorców.</w:t>
            </w:r>
          </w:p>
        </w:tc>
        <w:tc>
          <w:tcPr>
            <w:tcW w:w="1359" w:type="dxa"/>
            <w:vAlign w:val="center"/>
          </w:tcPr>
          <w:p w:rsidR="006568EE" w:rsidRPr="00A06425" w:rsidRDefault="006568EE" w:rsidP="00A06425">
            <w:pPr>
              <w:jc w:val="center"/>
              <w:rPr>
                <w:rFonts w:asciiTheme="minorHAnsi" w:hAnsiTheme="minorHAnsi" w:cstheme="minorHAnsi"/>
                <w:b/>
                <w:sz w:val="22"/>
                <w:szCs w:val="22"/>
              </w:rPr>
            </w:pPr>
          </w:p>
        </w:tc>
      </w:tr>
      <w:tr w:rsidR="006568EE" w:rsidRPr="00A06425" w:rsidTr="00A06425">
        <w:tc>
          <w:tcPr>
            <w:tcW w:w="562" w:type="dxa"/>
            <w:shd w:val="clear" w:color="auto" w:fill="auto"/>
            <w:vAlign w:val="center"/>
          </w:tcPr>
          <w:p w:rsidR="006568EE" w:rsidRDefault="006568EE" w:rsidP="004D086F">
            <w:pPr>
              <w:jc w:val="center"/>
              <w:rPr>
                <w:rFonts w:asciiTheme="minorHAnsi" w:hAnsiTheme="minorHAnsi" w:cstheme="minorHAnsi"/>
                <w:b/>
                <w:sz w:val="22"/>
                <w:szCs w:val="22"/>
              </w:rPr>
            </w:pPr>
            <w:r>
              <w:rPr>
                <w:rFonts w:asciiTheme="minorHAnsi" w:hAnsiTheme="minorHAnsi" w:cstheme="minorHAnsi"/>
                <w:b/>
                <w:sz w:val="22"/>
                <w:szCs w:val="22"/>
              </w:rPr>
              <w:t>9</w:t>
            </w:r>
          </w:p>
        </w:tc>
        <w:tc>
          <w:tcPr>
            <w:tcW w:w="1134" w:type="dxa"/>
            <w:shd w:val="clear" w:color="auto" w:fill="auto"/>
            <w:vAlign w:val="center"/>
          </w:tcPr>
          <w:p w:rsidR="006568EE" w:rsidRPr="00A06425" w:rsidRDefault="006568EE" w:rsidP="004D086F">
            <w:pPr>
              <w:jc w:val="center"/>
              <w:rPr>
                <w:rFonts w:asciiTheme="minorHAnsi" w:hAnsiTheme="minorHAnsi" w:cstheme="minorHAnsi"/>
                <w:b/>
                <w:sz w:val="22"/>
                <w:szCs w:val="22"/>
              </w:rPr>
            </w:pPr>
            <w:r>
              <w:rPr>
                <w:rFonts w:asciiTheme="minorHAnsi" w:hAnsiTheme="minorHAnsi" w:cstheme="minorHAnsi"/>
                <w:b/>
                <w:sz w:val="22"/>
                <w:szCs w:val="22"/>
              </w:rPr>
              <w:t>MF</w:t>
            </w:r>
          </w:p>
        </w:tc>
        <w:tc>
          <w:tcPr>
            <w:tcW w:w="1843" w:type="dxa"/>
            <w:shd w:val="clear" w:color="auto" w:fill="auto"/>
            <w:vAlign w:val="center"/>
          </w:tcPr>
          <w:p w:rsidR="006568EE" w:rsidRPr="00A06425" w:rsidRDefault="006568EE" w:rsidP="004D086F">
            <w:pPr>
              <w:jc w:val="center"/>
              <w:rPr>
                <w:rFonts w:asciiTheme="minorHAnsi" w:hAnsiTheme="minorHAnsi" w:cstheme="minorHAnsi"/>
                <w:b/>
                <w:sz w:val="22"/>
                <w:szCs w:val="22"/>
              </w:rPr>
            </w:pPr>
            <w:r>
              <w:rPr>
                <w:rFonts w:asciiTheme="minorHAnsi" w:hAnsiTheme="minorHAnsi" w:cstheme="minorHAnsi"/>
                <w:b/>
                <w:sz w:val="22"/>
                <w:szCs w:val="22"/>
              </w:rPr>
              <w:t>s. 17</w:t>
            </w:r>
          </w:p>
        </w:tc>
        <w:tc>
          <w:tcPr>
            <w:tcW w:w="4678" w:type="dxa"/>
            <w:shd w:val="clear" w:color="auto" w:fill="auto"/>
            <w:vAlign w:val="center"/>
          </w:tcPr>
          <w:p w:rsidR="006568EE" w:rsidRDefault="006568EE" w:rsidP="006568EE">
            <w:pPr>
              <w:jc w:val="center"/>
              <w:rPr>
                <w:rFonts w:ascii="Calibri" w:hAnsi="Calibri" w:cs="Calibri"/>
                <w:color w:val="000000"/>
                <w:sz w:val="22"/>
                <w:szCs w:val="22"/>
              </w:rPr>
            </w:pPr>
            <w:r>
              <w:rPr>
                <w:rFonts w:ascii="Calibri" w:hAnsi="Calibri" w:cs="Calibri"/>
                <w:color w:val="000000"/>
                <w:sz w:val="22"/>
                <w:szCs w:val="22"/>
              </w:rPr>
              <w:t>Biorąc pod uwagę powyższe uwarunkowania, dla osiągnięcia celu dotyczącego wzmacniania potencjału przedsiębiorstw i administracji publicznej na rzecz nowoczesnej gospodarki, konieczne jest wsparcie następujących typów działań:</w:t>
            </w:r>
          </w:p>
          <w:p w:rsidR="006568EE" w:rsidRPr="00A06425" w:rsidRDefault="006568EE" w:rsidP="004D086F">
            <w:pPr>
              <w:jc w:val="center"/>
              <w:rPr>
                <w:rFonts w:asciiTheme="minorHAnsi" w:hAnsiTheme="minorHAnsi" w:cstheme="minorHAnsi"/>
                <w:b/>
                <w:sz w:val="22"/>
                <w:szCs w:val="22"/>
              </w:rPr>
            </w:pPr>
          </w:p>
        </w:tc>
        <w:tc>
          <w:tcPr>
            <w:tcW w:w="5812" w:type="dxa"/>
            <w:shd w:val="clear" w:color="auto" w:fill="auto"/>
            <w:vAlign w:val="center"/>
          </w:tcPr>
          <w:p w:rsidR="006568EE" w:rsidRPr="006568EE" w:rsidRDefault="006568EE" w:rsidP="004D086F">
            <w:pPr>
              <w:jc w:val="center"/>
              <w:rPr>
                <w:rFonts w:asciiTheme="minorHAnsi" w:hAnsiTheme="minorHAnsi" w:cstheme="minorHAnsi"/>
                <w:sz w:val="22"/>
                <w:szCs w:val="22"/>
              </w:rPr>
            </w:pPr>
            <w:r w:rsidRPr="006568EE">
              <w:rPr>
                <w:rFonts w:asciiTheme="minorHAnsi" w:hAnsiTheme="minorHAnsi" w:cstheme="minorHAnsi"/>
                <w:sz w:val="22"/>
                <w:szCs w:val="22"/>
              </w:rPr>
              <w:lastRenderedPageBreak/>
              <w:t>W zakresie wsparcia należy również wyeksponować podnoszenie konkurencyjności oraz budowanie potencjału rozwojowego w dziedzinie innowacyjności. Dofinansowanie firm (inwestycje i kapitał obrotowy) na różnych etapach wzrostu w celu stworzenia warunków pozwalających tym firmom wejść na ścieżkę innowacyjnego rozwoju.</w:t>
            </w:r>
          </w:p>
        </w:tc>
        <w:tc>
          <w:tcPr>
            <w:tcW w:w="1359" w:type="dxa"/>
            <w:vAlign w:val="center"/>
          </w:tcPr>
          <w:p w:rsidR="006568EE" w:rsidRPr="00A06425" w:rsidRDefault="006568EE" w:rsidP="00A06425">
            <w:pPr>
              <w:jc w:val="center"/>
              <w:rPr>
                <w:rFonts w:asciiTheme="minorHAnsi" w:hAnsiTheme="minorHAnsi" w:cstheme="minorHAnsi"/>
                <w:b/>
                <w:sz w:val="22"/>
                <w:szCs w:val="22"/>
              </w:rPr>
            </w:pPr>
          </w:p>
        </w:tc>
      </w:tr>
      <w:tr w:rsidR="006568EE" w:rsidRPr="00A06425" w:rsidTr="00A06425">
        <w:tc>
          <w:tcPr>
            <w:tcW w:w="562" w:type="dxa"/>
            <w:shd w:val="clear" w:color="auto" w:fill="auto"/>
            <w:vAlign w:val="center"/>
          </w:tcPr>
          <w:p w:rsidR="006568EE" w:rsidRDefault="006568EE" w:rsidP="004D086F">
            <w:pPr>
              <w:jc w:val="center"/>
              <w:rPr>
                <w:rFonts w:asciiTheme="minorHAnsi" w:hAnsiTheme="minorHAnsi" w:cstheme="minorHAnsi"/>
                <w:b/>
                <w:sz w:val="22"/>
                <w:szCs w:val="22"/>
              </w:rPr>
            </w:pPr>
            <w:r>
              <w:rPr>
                <w:rFonts w:asciiTheme="minorHAnsi" w:hAnsiTheme="minorHAnsi" w:cstheme="minorHAnsi"/>
                <w:b/>
                <w:sz w:val="22"/>
                <w:szCs w:val="22"/>
              </w:rPr>
              <w:lastRenderedPageBreak/>
              <w:t>10</w:t>
            </w:r>
          </w:p>
        </w:tc>
        <w:tc>
          <w:tcPr>
            <w:tcW w:w="1134" w:type="dxa"/>
            <w:shd w:val="clear" w:color="auto" w:fill="auto"/>
            <w:vAlign w:val="center"/>
          </w:tcPr>
          <w:p w:rsidR="006568EE" w:rsidRPr="00A06425" w:rsidRDefault="006568EE" w:rsidP="004D086F">
            <w:pPr>
              <w:jc w:val="center"/>
              <w:rPr>
                <w:rFonts w:asciiTheme="minorHAnsi" w:hAnsiTheme="minorHAnsi" w:cstheme="minorHAnsi"/>
                <w:b/>
                <w:sz w:val="22"/>
                <w:szCs w:val="22"/>
              </w:rPr>
            </w:pPr>
            <w:r>
              <w:rPr>
                <w:rFonts w:asciiTheme="minorHAnsi" w:hAnsiTheme="minorHAnsi" w:cstheme="minorHAnsi"/>
                <w:b/>
                <w:sz w:val="22"/>
                <w:szCs w:val="22"/>
              </w:rPr>
              <w:t>MF</w:t>
            </w:r>
          </w:p>
        </w:tc>
        <w:tc>
          <w:tcPr>
            <w:tcW w:w="1843" w:type="dxa"/>
            <w:shd w:val="clear" w:color="auto" w:fill="auto"/>
            <w:vAlign w:val="center"/>
          </w:tcPr>
          <w:p w:rsidR="006568EE" w:rsidRPr="00A06425" w:rsidRDefault="00905572" w:rsidP="004D086F">
            <w:pPr>
              <w:jc w:val="center"/>
              <w:rPr>
                <w:rFonts w:asciiTheme="minorHAnsi" w:hAnsiTheme="minorHAnsi" w:cstheme="minorHAnsi"/>
                <w:b/>
                <w:sz w:val="22"/>
                <w:szCs w:val="22"/>
              </w:rPr>
            </w:pPr>
            <w:r>
              <w:rPr>
                <w:rFonts w:asciiTheme="minorHAnsi" w:hAnsiTheme="minorHAnsi" w:cstheme="minorHAnsi"/>
                <w:b/>
                <w:sz w:val="22"/>
                <w:szCs w:val="22"/>
              </w:rPr>
              <w:t xml:space="preserve">s.27 </w:t>
            </w:r>
          </w:p>
        </w:tc>
        <w:tc>
          <w:tcPr>
            <w:tcW w:w="4678" w:type="dxa"/>
            <w:shd w:val="clear" w:color="auto" w:fill="auto"/>
            <w:vAlign w:val="center"/>
          </w:tcPr>
          <w:p w:rsidR="006568EE" w:rsidRPr="00905572" w:rsidRDefault="00905572" w:rsidP="004D086F">
            <w:pPr>
              <w:jc w:val="center"/>
              <w:rPr>
                <w:rFonts w:asciiTheme="minorHAnsi" w:hAnsiTheme="minorHAnsi" w:cstheme="minorHAnsi"/>
                <w:sz w:val="22"/>
                <w:szCs w:val="22"/>
              </w:rPr>
            </w:pPr>
            <w:r w:rsidRPr="00905572">
              <w:rPr>
                <w:rFonts w:asciiTheme="minorHAnsi" w:hAnsiTheme="minorHAnsi" w:cstheme="minorHAnsi"/>
                <w:sz w:val="22"/>
                <w:szCs w:val="22"/>
              </w:rPr>
              <w:t>poprawa efektywności energetycznej w przedsiębiorstwach (wraz z audytem), inwestycje ograniczające zużycie energii, odzyskiwanie energii w procesie produkcyjnym, zastosowanie efektywnych energetycznie technologii, głęboka i kompleksowa modernizacja energetyczna budynków w przedsiębiorstwach, wymiana urządzeń na energooszczędne wraz z instalacją urządzeń OZE;</w:t>
            </w:r>
          </w:p>
        </w:tc>
        <w:tc>
          <w:tcPr>
            <w:tcW w:w="5812" w:type="dxa"/>
            <w:shd w:val="clear" w:color="auto" w:fill="auto"/>
            <w:vAlign w:val="center"/>
          </w:tcPr>
          <w:p w:rsidR="006568EE" w:rsidRPr="00905572" w:rsidRDefault="00905572" w:rsidP="004D086F">
            <w:pPr>
              <w:jc w:val="center"/>
              <w:rPr>
                <w:rFonts w:asciiTheme="minorHAnsi" w:hAnsiTheme="minorHAnsi" w:cstheme="minorHAnsi"/>
                <w:sz w:val="22"/>
                <w:szCs w:val="22"/>
              </w:rPr>
            </w:pPr>
            <w:r w:rsidRPr="00905572">
              <w:rPr>
                <w:rFonts w:asciiTheme="minorHAnsi" w:hAnsiTheme="minorHAnsi" w:cstheme="minorHAnsi"/>
                <w:sz w:val="22"/>
                <w:szCs w:val="22"/>
              </w:rPr>
              <w:t xml:space="preserve">Inwestycje proekologiczne w firmach jako zachęta do rozwoju i dalszego inwestowania. Finansowanie nowych inwestycji produkcyjnych z uwagi na ich zasilanie źródłem </w:t>
            </w:r>
            <w:proofErr w:type="spellStart"/>
            <w:r w:rsidRPr="00905572">
              <w:rPr>
                <w:rFonts w:asciiTheme="minorHAnsi" w:hAnsiTheme="minorHAnsi" w:cstheme="minorHAnsi"/>
                <w:sz w:val="22"/>
                <w:szCs w:val="22"/>
              </w:rPr>
              <w:t>zeroemisyjnym</w:t>
            </w:r>
            <w:proofErr w:type="spellEnd"/>
            <w:r w:rsidRPr="00905572">
              <w:rPr>
                <w:rFonts w:asciiTheme="minorHAnsi" w:hAnsiTheme="minorHAnsi" w:cstheme="minorHAnsi"/>
                <w:sz w:val="22"/>
                <w:szCs w:val="22"/>
              </w:rPr>
              <w:t xml:space="preserve"> lub zastosowaniem efektywnych energetycznie technologii. Rozważenie zastosowania instrumentów finansowych lub mieszanych (gwarancje, pożyczki połączone z dopłatami lub umorzeniami kapitału)</w:t>
            </w:r>
          </w:p>
        </w:tc>
        <w:tc>
          <w:tcPr>
            <w:tcW w:w="1359" w:type="dxa"/>
            <w:vAlign w:val="center"/>
          </w:tcPr>
          <w:p w:rsidR="006568EE" w:rsidRPr="00A06425" w:rsidRDefault="006568EE" w:rsidP="00A06425">
            <w:pPr>
              <w:jc w:val="center"/>
              <w:rPr>
                <w:rFonts w:asciiTheme="minorHAnsi" w:hAnsiTheme="minorHAnsi" w:cstheme="minorHAnsi"/>
                <w:b/>
                <w:sz w:val="22"/>
                <w:szCs w:val="22"/>
              </w:rPr>
            </w:pPr>
          </w:p>
        </w:tc>
      </w:tr>
      <w:tr w:rsidR="00905572" w:rsidRPr="00A06425" w:rsidTr="00A06425">
        <w:tc>
          <w:tcPr>
            <w:tcW w:w="562" w:type="dxa"/>
            <w:shd w:val="clear" w:color="auto" w:fill="auto"/>
            <w:vAlign w:val="center"/>
          </w:tcPr>
          <w:p w:rsidR="00905572" w:rsidRDefault="00905572" w:rsidP="004D086F">
            <w:pPr>
              <w:jc w:val="center"/>
              <w:rPr>
                <w:rFonts w:asciiTheme="minorHAnsi" w:hAnsiTheme="minorHAnsi" w:cstheme="minorHAnsi"/>
                <w:b/>
                <w:sz w:val="22"/>
                <w:szCs w:val="22"/>
              </w:rPr>
            </w:pPr>
            <w:r>
              <w:rPr>
                <w:rFonts w:asciiTheme="minorHAnsi" w:hAnsiTheme="minorHAnsi" w:cstheme="minorHAnsi"/>
                <w:b/>
                <w:sz w:val="22"/>
                <w:szCs w:val="22"/>
              </w:rPr>
              <w:t>11</w:t>
            </w:r>
          </w:p>
        </w:tc>
        <w:tc>
          <w:tcPr>
            <w:tcW w:w="1134" w:type="dxa"/>
            <w:shd w:val="clear" w:color="auto" w:fill="auto"/>
            <w:vAlign w:val="center"/>
          </w:tcPr>
          <w:p w:rsidR="00905572" w:rsidRDefault="00905572" w:rsidP="004D086F">
            <w:pPr>
              <w:jc w:val="center"/>
              <w:rPr>
                <w:rFonts w:asciiTheme="minorHAnsi" w:hAnsiTheme="minorHAnsi" w:cstheme="minorHAnsi"/>
                <w:b/>
                <w:sz w:val="22"/>
                <w:szCs w:val="22"/>
              </w:rPr>
            </w:pPr>
            <w:r>
              <w:rPr>
                <w:rFonts w:asciiTheme="minorHAnsi" w:hAnsiTheme="minorHAnsi" w:cstheme="minorHAnsi"/>
                <w:b/>
                <w:sz w:val="22"/>
                <w:szCs w:val="22"/>
              </w:rPr>
              <w:t>MF</w:t>
            </w:r>
          </w:p>
        </w:tc>
        <w:tc>
          <w:tcPr>
            <w:tcW w:w="1843" w:type="dxa"/>
            <w:shd w:val="clear" w:color="auto" w:fill="auto"/>
            <w:vAlign w:val="center"/>
          </w:tcPr>
          <w:p w:rsidR="00905572" w:rsidRDefault="00905572" w:rsidP="004D086F">
            <w:pPr>
              <w:jc w:val="center"/>
              <w:rPr>
                <w:rFonts w:asciiTheme="minorHAnsi" w:hAnsiTheme="minorHAnsi" w:cstheme="minorHAnsi"/>
                <w:b/>
                <w:sz w:val="22"/>
                <w:szCs w:val="22"/>
              </w:rPr>
            </w:pPr>
            <w:r>
              <w:rPr>
                <w:rFonts w:asciiTheme="minorHAnsi" w:hAnsiTheme="minorHAnsi" w:cstheme="minorHAnsi"/>
                <w:b/>
                <w:sz w:val="22"/>
                <w:szCs w:val="22"/>
              </w:rPr>
              <w:t>s. 117</w:t>
            </w:r>
          </w:p>
        </w:tc>
        <w:tc>
          <w:tcPr>
            <w:tcW w:w="4678" w:type="dxa"/>
            <w:shd w:val="clear" w:color="auto" w:fill="auto"/>
            <w:vAlign w:val="center"/>
          </w:tcPr>
          <w:p w:rsidR="00905572" w:rsidRPr="00905572" w:rsidRDefault="00905572" w:rsidP="004D086F">
            <w:pPr>
              <w:jc w:val="center"/>
              <w:rPr>
                <w:rFonts w:asciiTheme="minorHAnsi" w:hAnsiTheme="minorHAnsi" w:cstheme="minorHAnsi"/>
                <w:sz w:val="22"/>
                <w:szCs w:val="22"/>
              </w:rPr>
            </w:pPr>
            <w:r w:rsidRPr="00905572">
              <w:rPr>
                <w:rFonts w:asciiTheme="minorHAnsi" w:hAnsiTheme="minorHAnsi" w:cstheme="minorHAnsi"/>
                <w:sz w:val="22"/>
                <w:szCs w:val="22"/>
              </w:rPr>
              <w:t>wsparcie MŚP poprzez instrumenty finansowe - na poziomie krajowym (instrumenty kapitałowe, gwarancje portfelowe, dłużne- quasi kapitałowe), na poziomie regionalnym (m.in. instrumenty dłużne, gwarancje/poręczenia indywidualne).</w:t>
            </w:r>
          </w:p>
        </w:tc>
        <w:tc>
          <w:tcPr>
            <w:tcW w:w="5812" w:type="dxa"/>
            <w:shd w:val="clear" w:color="auto" w:fill="auto"/>
            <w:vAlign w:val="center"/>
          </w:tcPr>
          <w:p w:rsidR="00905572" w:rsidRPr="00905572" w:rsidRDefault="00905572" w:rsidP="004D086F">
            <w:pPr>
              <w:jc w:val="center"/>
              <w:rPr>
                <w:rFonts w:asciiTheme="minorHAnsi" w:hAnsiTheme="minorHAnsi" w:cstheme="minorHAnsi"/>
                <w:sz w:val="22"/>
                <w:szCs w:val="22"/>
              </w:rPr>
            </w:pPr>
            <w:r w:rsidRPr="00905572">
              <w:rPr>
                <w:rFonts w:asciiTheme="minorHAnsi" w:hAnsiTheme="minorHAnsi" w:cstheme="minorHAnsi"/>
                <w:sz w:val="22"/>
                <w:szCs w:val="22"/>
              </w:rPr>
              <w:t>Warto dopisać instrumenty mieszane, np. gwarancje z komponentem dotacyjnym.</w:t>
            </w:r>
          </w:p>
        </w:tc>
        <w:tc>
          <w:tcPr>
            <w:tcW w:w="1359" w:type="dxa"/>
            <w:vAlign w:val="center"/>
          </w:tcPr>
          <w:p w:rsidR="00905572" w:rsidRPr="00A06425" w:rsidRDefault="00905572" w:rsidP="00A06425">
            <w:pPr>
              <w:jc w:val="center"/>
              <w:rPr>
                <w:rFonts w:asciiTheme="minorHAnsi" w:hAnsiTheme="minorHAnsi" w:cstheme="minorHAnsi"/>
                <w:b/>
                <w:sz w:val="22"/>
                <w:szCs w:val="22"/>
              </w:rPr>
            </w:pPr>
          </w:p>
        </w:tc>
      </w:tr>
      <w:tr w:rsidR="00A06425" w:rsidRPr="00A06425" w:rsidTr="00A06425">
        <w:tc>
          <w:tcPr>
            <w:tcW w:w="562" w:type="dxa"/>
            <w:shd w:val="clear" w:color="auto" w:fill="auto"/>
          </w:tcPr>
          <w:p w:rsidR="00A06425" w:rsidRPr="00A06425" w:rsidRDefault="00A06425" w:rsidP="00A06425">
            <w:pPr>
              <w:spacing w:before="120" w:after="120"/>
              <w:jc w:val="center"/>
              <w:rPr>
                <w:rFonts w:asciiTheme="minorHAnsi" w:hAnsiTheme="minorHAnsi" w:cstheme="minorHAnsi"/>
                <w:b/>
                <w:sz w:val="22"/>
                <w:szCs w:val="22"/>
              </w:rPr>
            </w:pPr>
            <w:r w:rsidRPr="00A06425">
              <w:rPr>
                <w:rFonts w:asciiTheme="minorHAnsi" w:hAnsiTheme="minorHAnsi" w:cstheme="minorHAnsi"/>
                <w:b/>
                <w:sz w:val="22"/>
                <w:szCs w:val="22"/>
              </w:rPr>
              <w:t>1</w:t>
            </w:r>
            <w:r w:rsidR="00905572">
              <w:rPr>
                <w:rFonts w:asciiTheme="minorHAnsi" w:hAnsiTheme="minorHAnsi" w:cstheme="minorHAnsi"/>
                <w:b/>
                <w:sz w:val="22"/>
                <w:szCs w:val="22"/>
              </w:rPr>
              <w:t>2</w:t>
            </w:r>
          </w:p>
        </w:tc>
        <w:tc>
          <w:tcPr>
            <w:tcW w:w="1134" w:type="dxa"/>
            <w:shd w:val="clear" w:color="auto" w:fill="auto"/>
          </w:tcPr>
          <w:p w:rsidR="00A06425" w:rsidRPr="00A06425" w:rsidRDefault="00B468F9" w:rsidP="004D086F">
            <w:pPr>
              <w:spacing w:before="60" w:after="60"/>
              <w:jc w:val="center"/>
              <w:rPr>
                <w:rFonts w:asciiTheme="minorHAnsi" w:hAnsiTheme="minorHAnsi" w:cstheme="minorHAnsi"/>
                <w:b/>
                <w:sz w:val="22"/>
                <w:szCs w:val="22"/>
              </w:rPr>
            </w:pPr>
            <w:r>
              <w:rPr>
                <w:rFonts w:asciiTheme="minorHAnsi" w:hAnsiTheme="minorHAnsi" w:cstheme="minorHAnsi"/>
                <w:b/>
                <w:sz w:val="22"/>
                <w:szCs w:val="22"/>
              </w:rPr>
              <w:t>MF</w:t>
            </w:r>
          </w:p>
        </w:tc>
        <w:tc>
          <w:tcPr>
            <w:tcW w:w="1843" w:type="dxa"/>
            <w:shd w:val="clear" w:color="auto" w:fill="auto"/>
          </w:tcPr>
          <w:p w:rsidR="00A06425" w:rsidRPr="00F11E13" w:rsidRDefault="00B468F9" w:rsidP="004D086F">
            <w:pPr>
              <w:jc w:val="center"/>
              <w:rPr>
                <w:rFonts w:asciiTheme="minorHAnsi" w:hAnsiTheme="minorHAnsi" w:cstheme="minorHAnsi"/>
                <w:b/>
                <w:sz w:val="22"/>
                <w:szCs w:val="22"/>
              </w:rPr>
            </w:pPr>
            <w:r w:rsidRPr="00F11E13">
              <w:rPr>
                <w:rFonts w:asciiTheme="minorHAnsi" w:hAnsiTheme="minorHAnsi" w:cstheme="minorHAnsi"/>
                <w:b/>
                <w:sz w:val="22"/>
                <w:szCs w:val="22"/>
              </w:rPr>
              <w:t>s. 96 projektu Umowy Partnerstwa dla realizacji Polityki Spójności 2021-2027 w Polsce (strona 97 pliku PDF)</w:t>
            </w:r>
          </w:p>
        </w:tc>
        <w:tc>
          <w:tcPr>
            <w:tcW w:w="4678" w:type="dxa"/>
            <w:shd w:val="clear" w:color="auto" w:fill="auto"/>
          </w:tcPr>
          <w:p w:rsidR="00B468F9" w:rsidRPr="00B468F9" w:rsidRDefault="00B468F9" w:rsidP="00B468F9">
            <w:pPr>
              <w:jc w:val="both"/>
              <w:rPr>
                <w:rFonts w:asciiTheme="minorHAnsi" w:hAnsiTheme="minorHAnsi" w:cstheme="minorHAnsi"/>
                <w:sz w:val="22"/>
                <w:szCs w:val="22"/>
              </w:rPr>
            </w:pPr>
            <w:r>
              <w:rPr>
                <w:rFonts w:asciiTheme="minorHAnsi" w:hAnsiTheme="minorHAnsi" w:cstheme="minorHAnsi"/>
                <w:sz w:val="22"/>
                <w:szCs w:val="22"/>
              </w:rPr>
              <w:t xml:space="preserve">Na s. 96 projektu Umowy </w:t>
            </w:r>
            <w:r w:rsidRPr="00B468F9">
              <w:rPr>
                <w:rFonts w:asciiTheme="minorHAnsi" w:hAnsiTheme="minorHAnsi" w:cstheme="minorHAnsi"/>
                <w:sz w:val="22"/>
                <w:szCs w:val="22"/>
              </w:rPr>
              <w:t>mowa jest o tym, że</w:t>
            </w:r>
          </w:p>
          <w:p w:rsidR="00B468F9" w:rsidRPr="00B468F9" w:rsidRDefault="00B468F9" w:rsidP="00B468F9">
            <w:pPr>
              <w:jc w:val="both"/>
              <w:rPr>
                <w:rFonts w:asciiTheme="minorHAnsi" w:hAnsiTheme="minorHAnsi" w:cstheme="minorHAnsi"/>
                <w:sz w:val="22"/>
                <w:szCs w:val="22"/>
              </w:rPr>
            </w:pPr>
            <w:r w:rsidRPr="00B468F9">
              <w:rPr>
                <w:rFonts w:asciiTheme="minorHAnsi" w:hAnsiTheme="minorHAnsi" w:cstheme="minorHAnsi"/>
                <w:sz w:val="22"/>
                <w:szCs w:val="22"/>
              </w:rPr>
              <w:t>„W przypadku projektów przygotowawczych (dokumentacja projektowa) zrealizowanych w okresie 2014-2020, ich kontynuacja w fazie inwestycyjnej będzie zapewniona w ramach dostępnych środków unijnych, bądź środków innego pochodzenia. W przypadku finansowania ze środków innych niż z funduszy UE na lata 2021-2027, realizacja takich projektów może przekroczyć okres kwalifikowalności tych funduszy.”</w:t>
            </w:r>
          </w:p>
          <w:p w:rsidR="00B468F9" w:rsidRPr="00B468F9" w:rsidRDefault="00B468F9" w:rsidP="00B468F9">
            <w:pPr>
              <w:jc w:val="center"/>
              <w:rPr>
                <w:rFonts w:asciiTheme="minorHAnsi" w:hAnsiTheme="minorHAnsi" w:cstheme="minorHAnsi"/>
                <w:sz w:val="22"/>
                <w:szCs w:val="22"/>
              </w:rPr>
            </w:pPr>
          </w:p>
          <w:p w:rsidR="00B468F9" w:rsidRPr="00B468F9" w:rsidRDefault="00B468F9" w:rsidP="00B468F9">
            <w:pPr>
              <w:jc w:val="both"/>
              <w:rPr>
                <w:rFonts w:asciiTheme="minorHAnsi" w:hAnsiTheme="minorHAnsi" w:cstheme="minorHAnsi"/>
                <w:sz w:val="22"/>
                <w:szCs w:val="22"/>
              </w:rPr>
            </w:pPr>
            <w:r w:rsidRPr="00B468F9">
              <w:rPr>
                <w:rFonts w:asciiTheme="minorHAnsi" w:hAnsiTheme="minorHAnsi" w:cstheme="minorHAnsi"/>
                <w:sz w:val="22"/>
                <w:szCs w:val="22"/>
              </w:rPr>
              <w:t xml:space="preserve">W związku z faktem, że wartość regionalnych inwestycji kolejowych, na których realizację nie wystarczy środków europejskich w perspektywie 2021-2027, nie jest w tej chwili znana, przyjmowanie zobowiązania sfinansowania ww. projektów ze środków krajowych nie jest działaniem rekomendowanym. Proponuję, aby treść UP przewidywała możliwości realizacji etapów inwestycyjnych regionalnych projektów kolejowych, dla których prace przygotowawcze sfinansowano z RPO 2014-2020, ze środków UE </w:t>
            </w:r>
            <w:r w:rsidRPr="00B468F9">
              <w:rPr>
                <w:rFonts w:asciiTheme="minorHAnsi" w:hAnsiTheme="minorHAnsi" w:cstheme="minorHAnsi"/>
                <w:sz w:val="22"/>
                <w:szCs w:val="22"/>
              </w:rPr>
              <w:lastRenderedPageBreak/>
              <w:t xml:space="preserve">dostępnych w pespektywie finansowej 2021-2027, a także w kolejnych okresach programowania. </w:t>
            </w:r>
          </w:p>
          <w:p w:rsidR="00B468F9" w:rsidRPr="00B468F9" w:rsidRDefault="00B468F9" w:rsidP="00B468F9">
            <w:pPr>
              <w:jc w:val="both"/>
              <w:rPr>
                <w:rFonts w:asciiTheme="minorHAnsi" w:hAnsiTheme="minorHAnsi" w:cstheme="minorHAnsi"/>
                <w:sz w:val="22"/>
                <w:szCs w:val="22"/>
              </w:rPr>
            </w:pPr>
          </w:p>
          <w:p w:rsidR="00B468F9" w:rsidRPr="00B468F9" w:rsidRDefault="00B468F9" w:rsidP="00B468F9">
            <w:pPr>
              <w:jc w:val="both"/>
              <w:rPr>
                <w:rFonts w:asciiTheme="minorHAnsi" w:hAnsiTheme="minorHAnsi" w:cstheme="minorHAnsi"/>
                <w:sz w:val="22"/>
                <w:szCs w:val="22"/>
              </w:rPr>
            </w:pPr>
            <w:r w:rsidRPr="00B468F9">
              <w:rPr>
                <w:rFonts w:asciiTheme="minorHAnsi" w:hAnsiTheme="minorHAnsi" w:cstheme="minorHAnsi"/>
                <w:sz w:val="22"/>
                <w:szCs w:val="22"/>
              </w:rPr>
              <w:t xml:space="preserve">Ministerstwo Infrastruktury dwukrotnie zgłosiło uwagi do powyższego zapisu podkreślając, że prace przygotowawcze zrealizowane ze środków RPO 2014-2020 winny być kontynuowane, jako projekty inwestycyjne, ze środków RPO 2021-2027. Pula środków UE w  ramach programów krajowych takich np. </w:t>
            </w:r>
            <w:proofErr w:type="spellStart"/>
            <w:r w:rsidRPr="00B468F9">
              <w:rPr>
                <w:rFonts w:asciiTheme="minorHAnsi" w:hAnsiTheme="minorHAnsi" w:cstheme="minorHAnsi"/>
                <w:sz w:val="22"/>
                <w:szCs w:val="22"/>
              </w:rPr>
              <w:t>FEnIKS</w:t>
            </w:r>
            <w:proofErr w:type="spellEnd"/>
            <w:r w:rsidRPr="00B468F9">
              <w:rPr>
                <w:rFonts w:asciiTheme="minorHAnsi" w:hAnsiTheme="minorHAnsi" w:cstheme="minorHAnsi"/>
                <w:sz w:val="22"/>
                <w:szCs w:val="22"/>
              </w:rPr>
              <w:t xml:space="preserve"> jest bowiem niewystarczająca, by prócz inwestycji etapowanych / fazowanych oraz przygotowanych w ramach </w:t>
            </w:r>
            <w:proofErr w:type="spellStart"/>
            <w:r w:rsidRPr="00B468F9">
              <w:rPr>
                <w:rFonts w:asciiTheme="minorHAnsi" w:hAnsiTheme="minorHAnsi" w:cstheme="minorHAnsi"/>
                <w:sz w:val="22"/>
                <w:szCs w:val="22"/>
              </w:rPr>
              <w:t>POIiŚ</w:t>
            </w:r>
            <w:proofErr w:type="spellEnd"/>
            <w:r w:rsidRPr="00B468F9">
              <w:rPr>
                <w:rFonts w:asciiTheme="minorHAnsi" w:hAnsiTheme="minorHAnsi" w:cstheme="minorHAnsi"/>
                <w:sz w:val="22"/>
                <w:szCs w:val="22"/>
              </w:rPr>
              <w:t xml:space="preserve"> 2014-2020, sfinansować z niej jeszcze projekty RPO przygotowane w perspektywie 2014-2020.</w:t>
            </w:r>
          </w:p>
          <w:p w:rsidR="00B468F9" w:rsidRPr="00B468F9" w:rsidRDefault="00B468F9" w:rsidP="00B468F9">
            <w:pPr>
              <w:jc w:val="both"/>
              <w:rPr>
                <w:rFonts w:asciiTheme="minorHAnsi" w:hAnsiTheme="minorHAnsi" w:cstheme="minorHAnsi"/>
                <w:sz w:val="22"/>
                <w:szCs w:val="22"/>
              </w:rPr>
            </w:pPr>
          </w:p>
          <w:p w:rsidR="00B468F9" w:rsidRPr="00B468F9" w:rsidRDefault="00B468F9" w:rsidP="00B468F9">
            <w:pPr>
              <w:jc w:val="both"/>
              <w:rPr>
                <w:rFonts w:asciiTheme="minorHAnsi" w:hAnsiTheme="minorHAnsi" w:cstheme="minorHAnsi"/>
                <w:sz w:val="22"/>
                <w:szCs w:val="22"/>
              </w:rPr>
            </w:pPr>
            <w:r w:rsidRPr="00B468F9">
              <w:rPr>
                <w:rFonts w:asciiTheme="minorHAnsi" w:hAnsiTheme="minorHAnsi" w:cstheme="minorHAnsi"/>
                <w:sz w:val="22"/>
                <w:szCs w:val="22"/>
              </w:rPr>
              <w:t xml:space="preserve">Zgodnie z tabelą rozbieżności, z projektów programów regionalnych na lata 2021-2027, które wpłynęły do MI wynika, że kwestia finansowania części inwestycyjnej projektów przygotowanych ze środków RPO 2014-2020 jest w nowych programach pomijana, a instytucje odpowiadające za przygotowanie programów regionalnych na lata 2021-2027 liczą, że kontynuacja regionalnych projektów kolejowych finansowana będzie z programu krajowego. </w:t>
            </w:r>
          </w:p>
          <w:p w:rsidR="00B468F9" w:rsidRPr="00B468F9" w:rsidRDefault="00B468F9" w:rsidP="00B468F9">
            <w:pPr>
              <w:jc w:val="center"/>
              <w:rPr>
                <w:rFonts w:asciiTheme="minorHAnsi" w:hAnsiTheme="minorHAnsi" w:cstheme="minorHAnsi"/>
                <w:sz w:val="22"/>
                <w:szCs w:val="22"/>
              </w:rPr>
            </w:pPr>
          </w:p>
          <w:p w:rsidR="00A06425" w:rsidRPr="00A06425" w:rsidRDefault="00A06425" w:rsidP="00B468F9">
            <w:pPr>
              <w:jc w:val="center"/>
              <w:rPr>
                <w:rFonts w:asciiTheme="minorHAnsi" w:hAnsiTheme="minorHAnsi" w:cstheme="minorHAnsi"/>
                <w:sz w:val="22"/>
                <w:szCs w:val="22"/>
              </w:rPr>
            </w:pPr>
          </w:p>
        </w:tc>
        <w:tc>
          <w:tcPr>
            <w:tcW w:w="5812" w:type="dxa"/>
            <w:shd w:val="clear" w:color="auto" w:fill="auto"/>
          </w:tcPr>
          <w:p w:rsidR="00B468F9" w:rsidRPr="00B468F9" w:rsidRDefault="00B468F9" w:rsidP="00B468F9">
            <w:pPr>
              <w:jc w:val="both"/>
              <w:rPr>
                <w:rFonts w:asciiTheme="minorHAnsi" w:hAnsiTheme="minorHAnsi" w:cstheme="minorHAnsi"/>
                <w:sz w:val="22"/>
                <w:szCs w:val="22"/>
              </w:rPr>
            </w:pPr>
            <w:proofErr w:type="spellStart"/>
            <w:r w:rsidRPr="00B468F9">
              <w:rPr>
                <w:rFonts w:asciiTheme="minorHAnsi" w:hAnsiTheme="minorHAnsi" w:cstheme="minorHAnsi"/>
                <w:sz w:val="22"/>
                <w:szCs w:val="22"/>
              </w:rPr>
              <w:lastRenderedPageBreak/>
              <w:t>MFiPR</w:t>
            </w:r>
            <w:proofErr w:type="spellEnd"/>
            <w:r w:rsidRPr="00B468F9">
              <w:rPr>
                <w:rFonts w:asciiTheme="minorHAnsi" w:hAnsiTheme="minorHAnsi" w:cstheme="minorHAnsi"/>
                <w:sz w:val="22"/>
                <w:szCs w:val="22"/>
              </w:rPr>
              <w:t xml:space="preserve"> popierając pogląd o MI zasadności finansowania etapów inwestycyjnych projektów przygotowanych w ramach RPO 2014-2020, ze środków RPO 2021-2027 nie uwzględniło ww. uwagi w projekcie UP, odmawiając uszczegółowienia zapisów dotyczących pochodzenia środków z jakich finansowane będą ww. projekty.</w:t>
            </w:r>
          </w:p>
          <w:p w:rsidR="00B468F9" w:rsidRPr="00B468F9" w:rsidRDefault="00B468F9" w:rsidP="00B468F9">
            <w:pPr>
              <w:jc w:val="center"/>
              <w:rPr>
                <w:rFonts w:asciiTheme="minorHAnsi" w:hAnsiTheme="minorHAnsi" w:cstheme="minorHAnsi"/>
                <w:sz w:val="22"/>
                <w:szCs w:val="22"/>
              </w:rPr>
            </w:pPr>
          </w:p>
          <w:p w:rsidR="00B468F9" w:rsidRPr="00B468F9" w:rsidRDefault="00B468F9" w:rsidP="00B468F9">
            <w:pPr>
              <w:jc w:val="both"/>
              <w:rPr>
                <w:rFonts w:asciiTheme="minorHAnsi" w:hAnsiTheme="minorHAnsi" w:cstheme="minorHAnsi"/>
                <w:sz w:val="22"/>
                <w:szCs w:val="22"/>
              </w:rPr>
            </w:pPr>
            <w:r w:rsidRPr="00B468F9">
              <w:rPr>
                <w:rFonts w:asciiTheme="minorHAnsi" w:hAnsiTheme="minorHAnsi" w:cstheme="minorHAnsi"/>
                <w:sz w:val="22"/>
                <w:szCs w:val="22"/>
              </w:rPr>
              <w:t xml:space="preserve">Niewystarczająca alokacja w </w:t>
            </w:r>
            <w:proofErr w:type="spellStart"/>
            <w:r w:rsidRPr="00B468F9">
              <w:rPr>
                <w:rFonts w:asciiTheme="minorHAnsi" w:hAnsiTheme="minorHAnsi" w:cstheme="minorHAnsi"/>
                <w:sz w:val="22"/>
                <w:szCs w:val="22"/>
              </w:rPr>
              <w:t>FEnIKS</w:t>
            </w:r>
            <w:proofErr w:type="spellEnd"/>
            <w:r w:rsidRPr="00B468F9">
              <w:rPr>
                <w:rFonts w:asciiTheme="minorHAnsi" w:hAnsiTheme="minorHAnsi" w:cstheme="minorHAnsi"/>
                <w:sz w:val="22"/>
                <w:szCs w:val="22"/>
              </w:rPr>
              <w:t xml:space="preserve"> oraz RPO 2021-2027, nie pozwalająca na finansowanie prac inwestycyjnych w ramach ww. projektów ze środków europejskich, skutkować będzie koniecznością ich realizacji ze środków krajowych lub zwrotem środków UE.</w:t>
            </w:r>
          </w:p>
          <w:p w:rsidR="00A06425" w:rsidRPr="00A06425" w:rsidRDefault="00B468F9" w:rsidP="00B468F9">
            <w:pPr>
              <w:jc w:val="both"/>
              <w:rPr>
                <w:rFonts w:asciiTheme="minorHAnsi" w:hAnsiTheme="minorHAnsi" w:cstheme="minorHAnsi"/>
                <w:sz w:val="22"/>
                <w:szCs w:val="22"/>
              </w:rPr>
            </w:pPr>
            <w:r w:rsidRPr="00B468F9">
              <w:rPr>
                <w:rFonts w:asciiTheme="minorHAnsi" w:hAnsiTheme="minorHAnsi" w:cstheme="minorHAnsi"/>
                <w:sz w:val="22"/>
                <w:szCs w:val="22"/>
              </w:rPr>
              <w:t>Wymieniony na wstępie zapis na str. 96 wymaga odpowiedniego uszczegółowienia.</w:t>
            </w:r>
          </w:p>
        </w:tc>
        <w:tc>
          <w:tcPr>
            <w:tcW w:w="1359" w:type="dxa"/>
          </w:tcPr>
          <w:p w:rsidR="00A06425" w:rsidRPr="00A06425" w:rsidRDefault="00A06425" w:rsidP="004D086F">
            <w:pPr>
              <w:jc w:val="center"/>
              <w:rPr>
                <w:rFonts w:asciiTheme="minorHAnsi" w:hAnsiTheme="minorHAnsi" w:cstheme="minorHAnsi"/>
                <w:sz w:val="22"/>
                <w:szCs w:val="22"/>
              </w:rPr>
            </w:pPr>
          </w:p>
        </w:tc>
      </w:tr>
      <w:tr w:rsidR="00A06425" w:rsidRPr="00A06425" w:rsidTr="00A06425">
        <w:tc>
          <w:tcPr>
            <w:tcW w:w="562" w:type="dxa"/>
            <w:shd w:val="clear" w:color="auto" w:fill="auto"/>
          </w:tcPr>
          <w:p w:rsidR="00A06425" w:rsidRPr="00A06425" w:rsidRDefault="00905572" w:rsidP="00A06425">
            <w:pPr>
              <w:spacing w:before="120" w:after="120"/>
              <w:jc w:val="center"/>
              <w:rPr>
                <w:rFonts w:asciiTheme="minorHAnsi" w:hAnsiTheme="minorHAnsi" w:cstheme="minorHAnsi"/>
                <w:b/>
                <w:sz w:val="22"/>
                <w:szCs w:val="22"/>
              </w:rPr>
            </w:pPr>
            <w:r>
              <w:rPr>
                <w:rFonts w:asciiTheme="minorHAnsi" w:hAnsiTheme="minorHAnsi" w:cstheme="minorHAnsi"/>
                <w:b/>
                <w:sz w:val="22"/>
                <w:szCs w:val="22"/>
              </w:rPr>
              <w:lastRenderedPageBreak/>
              <w:t>13</w:t>
            </w:r>
          </w:p>
        </w:tc>
        <w:tc>
          <w:tcPr>
            <w:tcW w:w="1134" w:type="dxa"/>
            <w:shd w:val="clear" w:color="auto" w:fill="auto"/>
          </w:tcPr>
          <w:p w:rsidR="00A06425" w:rsidRPr="00A06425" w:rsidRDefault="00B468F9" w:rsidP="004D086F">
            <w:pPr>
              <w:spacing w:before="60" w:after="60"/>
              <w:jc w:val="center"/>
              <w:rPr>
                <w:rFonts w:asciiTheme="minorHAnsi" w:hAnsiTheme="minorHAnsi" w:cstheme="minorHAnsi"/>
                <w:b/>
                <w:sz w:val="22"/>
                <w:szCs w:val="22"/>
              </w:rPr>
            </w:pPr>
            <w:r>
              <w:rPr>
                <w:rFonts w:asciiTheme="minorHAnsi" w:hAnsiTheme="minorHAnsi" w:cstheme="minorHAnsi"/>
                <w:b/>
                <w:sz w:val="22"/>
                <w:szCs w:val="22"/>
              </w:rPr>
              <w:t>MF</w:t>
            </w:r>
          </w:p>
        </w:tc>
        <w:tc>
          <w:tcPr>
            <w:tcW w:w="1843" w:type="dxa"/>
            <w:shd w:val="clear" w:color="auto" w:fill="auto"/>
          </w:tcPr>
          <w:p w:rsidR="00A06425" w:rsidRPr="00A06425" w:rsidRDefault="00B468F9" w:rsidP="004D086F">
            <w:pPr>
              <w:jc w:val="center"/>
              <w:rPr>
                <w:rFonts w:asciiTheme="minorHAnsi" w:hAnsiTheme="minorHAnsi" w:cstheme="minorHAnsi"/>
                <w:sz w:val="22"/>
                <w:szCs w:val="22"/>
              </w:rPr>
            </w:pPr>
            <w:r w:rsidRPr="00B468F9">
              <w:rPr>
                <w:rFonts w:asciiTheme="minorHAnsi" w:hAnsiTheme="minorHAnsi" w:cstheme="minorHAnsi"/>
                <w:b/>
                <w:bCs/>
                <w:sz w:val="22"/>
                <w:szCs w:val="22"/>
              </w:rPr>
              <w:t>str. 251-252 UP</w:t>
            </w:r>
          </w:p>
        </w:tc>
        <w:tc>
          <w:tcPr>
            <w:tcW w:w="4678" w:type="dxa"/>
            <w:shd w:val="clear" w:color="auto" w:fill="auto"/>
          </w:tcPr>
          <w:p w:rsidR="00B468F9" w:rsidRPr="00B468F9" w:rsidRDefault="00B468F9" w:rsidP="00B468F9">
            <w:pPr>
              <w:jc w:val="both"/>
              <w:rPr>
                <w:rFonts w:asciiTheme="minorHAnsi" w:hAnsiTheme="minorHAnsi" w:cstheme="minorHAnsi"/>
                <w:sz w:val="22"/>
                <w:szCs w:val="22"/>
              </w:rPr>
            </w:pPr>
            <w:r w:rsidRPr="00B468F9">
              <w:rPr>
                <w:rFonts w:asciiTheme="minorHAnsi" w:hAnsiTheme="minorHAnsi" w:cstheme="minorHAnsi"/>
                <w:bCs/>
                <w:sz w:val="22"/>
                <w:szCs w:val="22"/>
              </w:rPr>
              <w:t>Na str. 251-252 UP</w:t>
            </w:r>
            <w:r w:rsidRPr="00B468F9">
              <w:rPr>
                <w:rFonts w:asciiTheme="minorHAnsi" w:hAnsiTheme="minorHAnsi" w:cstheme="minorHAnsi"/>
                <w:b/>
                <w:bCs/>
                <w:sz w:val="22"/>
                <w:szCs w:val="22"/>
              </w:rPr>
              <w:t xml:space="preserve"> </w:t>
            </w:r>
            <w:r w:rsidRPr="00B468F9">
              <w:rPr>
                <w:rFonts w:asciiTheme="minorHAnsi" w:hAnsiTheme="minorHAnsi" w:cstheme="minorHAnsi"/>
                <w:sz w:val="22"/>
                <w:szCs w:val="22"/>
              </w:rPr>
              <w:t>dodano nowe informacje dotyczące możliwości wykorzystania instrumentu</w:t>
            </w:r>
          </w:p>
          <w:p w:rsidR="00B468F9" w:rsidRPr="00B468F9" w:rsidRDefault="00B468F9" w:rsidP="00B468F9">
            <w:pPr>
              <w:jc w:val="both"/>
              <w:rPr>
                <w:rFonts w:asciiTheme="minorHAnsi" w:hAnsiTheme="minorHAnsi" w:cstheme="minorHAnsi"/>
                <w:sz w:val="22"/>
                <w:szCs w:val="22"/>
              </w:rPr>
            </w:pPr>
            <w:r w:rsidRPr="00B468F9">
              <w:rPr>
                <w:rFonts w:asciiTheme="minorHAnsi" w:hAnsiTheme="minorHAnsi" w:cstheme="minorHAnsi"/>
                <w:sz w:val="22"/>
                <w:szCs w:val="22"/>
              </w:rPr>
              <w:t>gwarancyjnego na rzecz OZE w ramach CP2. Opis ten jest niespójny z nową wersją Programu</w:t>
            </w:r>
          </w:p>
          <w:p w:rsidR="00B468F9" w:rsidRPr="00B468F9" w:rsidRDefault="00B468F9" w:rsidP="00B468F9">
            <w:pPr>
              <w:jc w:val="both"/>
              <w:rPr>
                <w:rFonts w:asciiTheme="minorHAnsi" w:hAnsiTheme="minorHAnsi" w:cstheme="minorHAnsi"/>
                <w:sz w:val="22"/>
                <w:szCs w:val="22"/>
              </w:rPr>
            </w:pPr>
            <w:r w:rsidRPr="00B468F9">
              <w:rPr>
                <w:rFonts w:asciiTheme="minorHAnsi" w:hAnsiTheme="minorHAnsi" w:cstheme="minorHAnsi"/>
                <w:sz w:val="22"/>
                <w:szCs w:val="22"/>
              </w:rPr>
              <w:t>Fundusze Europejskie dla Nowoczesnej Gospodarki (FENG), w której instrument gwarancyjny w</w:t>
            </w:r>
            <w:r>
              <w:rPr>
                <w:rFonts w:asciiTheme="minorHAnsi" w:hAnsiTheme="minorHAnsi" w:cstheme="minorHAnsi"/>
                <w:sz w:val="22"/>
                <w:szCs w:val="22"/>
              </w:rPr>
              <w:t xml:space="preserve"> </w:t>
            </w:r>
            <w:r w:rsidRPr="00B468F9">
              <w:rPr>
                <w:rFonts w:asciiTheme="minorHAnsi" w:hAnsiTheme="minorHAnsi" w:cstheme="minorHAnsi"/>
                <w:sz w:val="22"/>
                <w:szCs w:val="22"/>
              </w:rPr>
              <w:t>ramach CP2 został potraktowany szerzej (efektywność energetyczna</w:t>
            </w:r>
            <w:r>
              <w:rPr>
                <w:rFonts w:asciiTheme="minorHAnsi" w:hAnsiTheme="minorHAnsi" w:cstheme="minorHAnsi"/>
                <w:sz w:val="22"/>
                <w:szCs w:val="22"/>
              </w:rPr>
              <w:t xml:space="preserve"> </w:t>
            </w:r>
            <w:r w:rsidRPr="00B468F9">
              <w:rPr>
                <w:rFonts w:asciiTheme="minorHAnsi" w:hAnsiTheme="minorHAnsi" w:cstheme="minorHAnsi"/>
                <w:sz w:val="22"/>
                <w:szCs w:val="22"/>
              </w:rPr>
              <w:t xml:space="preserve"> przedsiębiorstw, w tym OZE,</w:t>
            </w:r>
            <w:r>
              <w:rPr>
                <w:rFonts w:asciiTheme="minorHAnsi" w:hAnsiTheme="minorHAnsi" w:cstheme="minorHAnsi"/>
                <w:sz w:val="22"/>
                <w:szCs w:val="22"/>
              </w:rPr>
              <w:t xml:space="preserve"> </w:t>
            </w:r>
            <w:r w:rsidRPr="00B468F9">
              <w:rPr>
                <w:rFonts w:asciiTheme="minorHAnsi" w:hAnsiTheme="minorHAnsi" w:cstheme="minorHAnsi"/>
                <w:sz w:val="22"/>
                <w:szCs w:val="22"/>
              </w:rPr>
              <w:t xml:space="preserve">GOZ). Jednocześnie </w:t>
            </w:r>
            <w:r w:rsidRPr="00B468F9">
              <w:rPr>
                <w:rFonts w:asciiTheme="minorHAnsi" w:hAnsiTheme="minorHAnsi" w:cstheme="minorHAnsi"/>
                <w:sz w:val="22"/>
                <w:szCs w:val="22"/>
              </w:rPr>
              <w:lastRenderedPageBreak/>
              <w:t>nie ma wzmianki o instrumencie gwarancyjnym w ramach CP1, który będzie</w:t>
            </w:r>
            <w:r>
              <w:rPr>
                <w:rFonts w:asciiTheme="minorHAnsi" w:hAnsiTheme="minorHAnsi" w:cstheme="minorHAnsi"/>
                <w:sz w:val="22"/>
                <w:szCs w:val="22"/>
              </w:rPr>
              <w:t xml:space="preserve"> </w:t>
            </w:r>
            <w:r w:rsidRPr="00B468F9">
              <w:rPr>
                <w:rFonts w:asciiTheme="minorHAnsi" w:hAnsiTheme="minorHAnsi" w:cstheme="minorHAnsi"/>
                <w:sz w:val="22"/>
                <w:szCs w:val="22"/>
              </w:rPr>
              <w:t>wykorzystywać 70% alokacji przeznaczonej na gwarancje w Programie FENG.</w:t>
            </w:r>
          </w:p>
          <w:p w:rsidR="00B468F9" w:rsidRPr="00B468F9" w:rsidRDefault="00B468F9" w:rsidP="00B468F9">
            <w:pPr>
              <w:jc w:val="center"/>
              <w:rPr>
                <w:rFonts w:asciiTheme="minorHAnsi" w:hAnsiTheme="minorHAnsi" w:cstheme="minorHAnsi"/>
                <w:sz w:val="22"/>
                <w:szCs w:val="22"/>
              </w:rPr>
            </w:pPr>
            <w:r w:rsidRPr="00B468F9">
              <w:rPr>
                <w:rFonts w:asciiTheme="minorHAnsi" w:hAnsiTheme="minorHAnsi" w:cstheme="minorHAnsi"/>
                <w:sz w:val="22"/>
                <w:szCs w:val="22"/>
              </w:rPr>
              <w:t>Ponadto, należy wyjaśnić o jakiego rodzaju badanie inwestycji OZE chodzi w odniesieniu do</w:t>
            </w:r>
          </w:p>
          <w:p w:rsidR="00B468F9" w:rsidRPr="00B468F9" w:rsidRDefault="00B468F9" w:rsidP="00B468F9">
            <w:pPr>
              <w:jc w:val="center"/>
              <w:rPr>
                <w:rFonts w:asciiTheme="minorHAnsi" w:hAnsiTheme="minorHAnsi" w:cstheme="minorHAnsi"/>
                <w:sz w:val="22"/>
                <w:szCs w:val="22"/>
              </w:rPr>
            </w:pPr>
            <w:r w:rsidRPr="00B468F9">
              <w:rPr>
                <w:rFonts w:asciiTheme="minorHAnsi" w:hAnsiTheme="minorHAnsi" w:cstheme="minorHAnsi"/>
                <w:sz w:val="22"/>
                <w:szCs w:val="22"/>
              </w:rPr>
              <w:t>poniższego sformułowania ze str. 251.</w:t>
            </w:r>
          </w:p>
          <w:p w:rsidR="00B468F9" w:rsidRPr="00B468F9" w:rsidRDefault="00B468F9" w:rsidP="00B468F9">
            <w:pPr>
              <w:jc w:val="center"/>
              <w:rPr>
                <w:rFonts w:asciiTheme="minorHAnsi" w:hAnsiTheme="minorHAnsi" w:cstheme="minorHAnsi"/>
                <w:i/>
                <w:iCs/>
                <w:sz w:val="22"/>
                <w:szCs w:val="22"/>
              </w:rPr>
            </w:pPr>
            <w:r w:rsidRPr="00B468F9">
              <w:rPr>
                <w:rFonts w:asciiTheme="minorHAnsi" w:hAnsiTheme="minorHAnsi" w:cstheme="minorHAnsi"/>
                <w:i/>
                <w:iCs/>
                <w:sz w:val="22"/>
                <w:szCs w:val="22"/>
              </w:rPr>
              <w:t>W przypadku projektów z zakresu efektywności energetycznej (wraz z instalacją urządzeń OZE oraz</w:t>
            </w:r>
            <w:r>
              <w:rPr>
                <w:rFonts w:asciiTheme="minorHAnsi" w:hAnsiTheme="minorHAnsi" w:cstheme="minorHAnsi"/>
                <w:i/>
                <w:iCs/>
                <w:sz w:val="22"/>
                <w:szCs w:val="22"/>
              </w:rPr>
              <w:t xml:space="preserve"> </w:t>
            </w:r>
            <w:r w:rsidRPr="00B468F9">
              <w:rPr>
                <w:rFonts w:asciiTheme="minorHAnsi" w:hAnsiTheme="minorHAnsi" w:cstheme="minorHAnsi"/>
                <w:i/>
                <w:iCs/>
                <w:sz w:val="22"/>
                <w:szCs w:val="22"/>
              </w:rPr>
              <w:t>wymianą/modernizacją źródeł ciepła) należy zbadać, czy specyfika danego projektu (wysokość jego</w:t>
            </w:r>
            <w:r>
              <w:rPr>
                <w:rFonts w:asciiTheme="minorHAnsi" w:hAnsiTheme="minorHAnsi" w:cstheme="minorHAnsi"/>
                <w:i/>
                <w:iCs/>
                <w:sz w:val="22"/>
                <w:szCs w:val="22"/>
              </w:rPr>
              <w:t xml:space="preserve"> </w:t>
            </w:r>
            <w:r w:rsidRPr="00B468F9">
              <w:rPr>
                <w:rFonts w:asciiTheme="minorHAnsi" w:hAnsiTheme="minorHAnsi" w:cstheme="minorHAnsi"/>
                <w:i/>
                <w:iCs/>
                <w:sz w:val="22"/>
                <w:szCs w:val="22"/>
              </w:rPr>
              <w:t>kosztów inwestycyjnych i potencjał do generowania oszczędności kosztów energii) pozwala na</w:t>
            </w:r>
            <w:r>
              <w:rPr>
                <w:rFonts w:asciiTheme="minorHAnsi" w:hAnsiTheme="minorHAnsi" w:cstheme="minorHAnsi"/>
                <w:i/>
                <w:iCs/>
                <w:sz w:val="22"/>
                <w:szCs w:val="22"/>
              </w:rPr>
              <w:t xml:space="preserve"> </w:t>
            </w:r>
            <w:r w:rsidRPr="00B468F9">
              <w:rPr>
                <w:rFonts w:asciiTheme="minorHAnsi" w:hAnsiTheme="minorHAnsi" w:cstheme="minorHAnsi"/>
                <w:i/>
                <w:iCs/>
                <w:sz w:val="22"/>
                <w:szCs w:val="22"/>
              </w:rPr>
              <w:t>zastosowanie instrumentu zwrotnego w postaci IF połączonego z dotacją.</w:t>
            </w:r>
          </w:p>
          <w:p w:rsidR="00A06425" w:rsidRPr="00A06425" w:rsidRDefault="00B468F9" w:rsidP="00B468F9">
            <w:pPr>
              <w:jc w:val="center"/>
              <w:rPr>
                <w:rFonts w:asciiTheme="minorHAnsi" w:hAnsiTheme="minorHAnsi" w:cstheme="minorHAnsi"/>
                <w:sz w:val="22"/>
                <w:szCs w:val="22"/>
              </w:rPr>
            </w:pPr>
            <w:r w:rsidRPr="00B468F9">
              <w:rPr>
                <w:rFonts w:asciiTheme="minorHAnsi" w:hAnsiTheme="minorHAnsi" w:cstheme="minorHAnsi"/>
                <w:b/>
                <w:bCs/>
                <w:sz w:val="22"/>
                <w:szCs w:val="22"/>
              </w:rPr>
              <w:t>Tego typu uwarunkowań nie wskazano w aktualnym projekcie Programu FENG.”</w:t>
            </w:r>
          </w:p>
        </w:tc>
        <w:tc>
          <w:tcPr>
            <w:tcW w:w="5812" w:type="dxa"/>
            <w:shd w:val="clear" w:color="auto" w:fill="auto"/>
          </w:tcPr>
          <w:p w:rsidR="00A06425" w:rsidRPr="00A06425" w:rsidRDefault="00B468F9" w:rsidP="004D086F">
            <w:pPr>
              <w:jc w:val="center"/>
              <w:rPr>
                <w:rFonts w:asciiTheme="minorHAnsi" w:hAnsiTheme="minorHAnsi" w:cstheme="minorHAnsi"/>
                <w:sz w:val="22"/>
                <w:szCs w:val="22"/>
              </w:rPr>
            </w:pPr>
            <w:r>
              <w:rPr>
                <w:rFonts w:asciiTheme="minorHAnsi" w:hAnsiTheme="minorHAnsi" w:cstheme="minorHAnsi"/>
                <w:sz w:val="22"/>
                <w:szCs w:val="22"/>
              </w:rPr>
              <w:lastRenderedPageBreak/>
              <w:t xml:space="preserve">Do wyjaśnienia wskazane niespójności. </w:t>
            </w:r>
          </w:p>
        </w:tc>
        <w:tc>
          <w:tcPr>
            <w:tcW w:w="1359" w:type="dxa"/>
          </w:tcPr>
          <w:p w:rsidR="00A06425" w:rsidRPr="00A06425" w:rsidRDefault="00A06425" w:rsidP="004D086F">
            <w:pPr>
              <w:jc w:val="center"/>
              <w:rPr>
                <w:rFonts w:asciiTheme="minorHAnsi" w:hAnsiTheme="minorHAnsi" w:cstheme="minorHAnsi"/>
                <w:sz w:val="22"/>
                <w:szCs w:val="22"/>
              </w:rPr>
            </w:pPr>
          </w:p>
        </w:tc>
      </w:tr>
      <w:tr w:rsidR="00A06425" w:rsidRPr="00A06425" w:rsidTr="00A06425">
        <w:tc>
          <w:tcPr>
            <w:tcW w:w="562" w:type="dxa"/>
            <w:shd w:val="clear" w:color="auto" w:fill="auto"/>
          </w:tcPr>
          <w:p w:rsidR="00A06425" w:rsidRPr="00A06425" w:rsidRDefault="00905572" w:rsidP="00A06425">
            <w:pPr>
              <w:spacing w:before="120" w:after="120"/>
              <w:jc w:val="center"/>
              <w:rPr>
                <w:rFonts w:asciiTheme="minorHAnsi" w:hAnsiTheme="minorHAnsi" w:cstheme="minorHAnsi"/>
                <w:b/>
                <w:sz w:val="22"/>
                <w:szCs w:val="22"/>
              </w:rPr>
            </w:pPr>
            <w:r>
              <w:rPr>
                <w:rFonts w:asciiTheme="minorHAnsi" w:hAnsiTheme="minorHAnsi" w:cstheme="minorHAnsi"/>
                <w:b/>
                <w:sz w:val="22"/>
                <w:szCs w:val="22"/>
              </w:rPr>
              <w:lastRenderedPageBreak/>
              <w:t>14</w:t>
            </w:r>
          </w:p>
        </w:tc>
        <w:tc>
          <w:tcPr>
            <w:tcW w:w="1134" w:type="dxa"/>
            <w:shd w:val="clear" w:color="auto" w:fill="auto"/>
          </w:tcPr>
          <w:p w:rsidR="00A06425" w:rsidRPr="00A06425" w:rsidRDefault="00905572" w:rsidP="004D086F">
            <w:pPr>
              <w:spacing w:before="60" w:after="60"/>
              <w:jc w:val="center"/>
              <w:rPr>
                <w:rFonts w:asciiTheme="minorHAnsi" w:hAnsiTheme="minorHAnsi" w:cstheme="minorHAnsi"/>
                <w:b/>
                <w:sz w:val="22"/>
                <w:szCs w:val="22"/>
              </w:rPr>
            </w:pPr>
            <w:r>
              <w:rPr>
                <w:rFonts w:asciiTheme="minorHAnsi" w:hAnsiTheme="minorHAnsi" w:cstheme="minorHAnsi"/>
                <w:b/>
                <w:sz w:val="22"/>
                <w:szCs w:val="22"/>
              </w:rPr>
              <w:t>MF</w:t>
            </w:r>
          </w:p>
        </w:tc>
        <w:tc>
          <w:tcPr>
            <w:tcW w:w="1843" w:type="dxa"/>
            <w:shd w:val="clear" w:color="auto" w:fill="auto"/>
          </w:tcPr>
          <w:p w:rsidR="00A06425" w:rsidRPr="00F11E13" w:rsidRDefault="00107103" w:rsidP="004D086F">
            <w:pPr>
              <w:jc w:val="center"/>
              <w:rPr>
                <w:rFonts w:asciiTheme="minorHAnsi" w:hAnsiTheme="minorHAnsi" w:cstheme="minorHAnsi"/>
                <w:b/>
                <w:sz w:val="22"/>
                <w:szCs w:val="22"/>
              </w:rPr>
            </w:pPr>
            <w:r>
              <w:rPr>
                <w:rFonts w:asciiTheme="minorHAnsi" w:hAnsiTheme="minorHAnsi" w:cstheme="minorHAnsi"/>
                <w:sz w:val="22"/>
                <w:szCs w:val="22"/>
              </w:rPr>
              <w:t>Ogólna</w:t>
            </w:r>
          </w:p>
        </w:tc>
        <w:tc>
          <w:tcPr>
            <w:tcW w:w="4678" w:type="dxa"/>
            <w:shd w:val="clear" w:color="auto" w:fill="auto"/>
          </w:tcPr>
          <w:p w:rsidR="00A06425" w:rsidRPr="00A06425" w:rsidRDefault="00107103" w:rsidP="00107103">
            <w:pPr>
              <w:jc w:val="center"/>
              <w:rPr>
                <w:rFonts w:asciiTheme="minorHAnsi" w:hAnsiTheme="minorHAnsi" w:cstheme="minorHAnsi"/>
                <w:sz w:val="22"/>
                <w:szCs w:val="22"/>
              </w:rPr>
            </w:pPr>
            <w:r>
              <w:rPr>
                <w:rFonts w:ascii="Calibri" w:hAnsi="Calibri" w:cs="Calibri"/>
                <w:sz w:val="22"/>
                <w:szCs w:val="22"/>
              </w:rPr>
              <w:t>Projekt uchwały dotyczy samorządu terytorialnego, zdaniem MF, powinien zostać przedłożony do zaopiniowania Komisji Wspólnej Rządu i Samorządu Terytorialnego.</w:t>
            </w:r>
          </w:p>
        </w:tc>
        <w:tc>
          <w:tcPr>
            <w:tcW w:w="5812" w:type="dxa"/>
            <w:shd w:val="clear" w:color="auto" w:fill="auto"/>
          </w:tcPr>
          <w:p w:rsidR="00107103" w:rsidRDefault="00107103" w:rsidP="00107103">
            <w:pPr>
              <w:autoSpaceDE w:val="0"/>
              <w:autoSpaceDN w:val="0"/>
              <w:adjustRightInd w:val="0"/>
              <w:rPr>
                <w:rFonts w:ascii="Calibri" w:hAnsi="Calibri" w:cs="Calibri"/>
                <w:sz w:val="22"/>
                <w:szCs w:val="22"/>
              </w:rPr>
            </w:pPr>
            <w:r>
              <w:rPr>
                <w:rFonts w:ascii="Calibri" w:hAnsi="Calibri" w:cs="Calibri"/>
                <w:sz w:val="22"/>
                <w:szCs w:val="22"/>
              </w:rPr>
              <w:t xml:space="preserve">Zgodnie z art. 3 pkt 5 ustawy z dnia 6 maja 2005 r. Ustawy o Komisji Wspólnej Rządu i Samorządu Terytorialnego oraz o przedstawicielach Rzeczypospolitej Polskiej w Komitecie Regionów Unii Europejskiej, do zadań </w:t>
            </w:r>
            <w:proofErr w:type="spellStart"/>
            <w:r>
              <w:rPr>
                <w:rFonts w:ascii="Calibri" w:hAnsi="Calibri" w:cs="Calibri"/>
                <w:sz w:val="22"/>
                <w:szCs w:val="22"/>
              </w:rPr>
              <w:t>KWRiST</w:t>
            </w:r>
            <w:proofErr w:type="spellEnd"/>
            <w:r>
              <w:rPr>
                <w:rFonts w:ascii="Calibri" w:hAnsi="Calibri" w:cs="Calibri"/>
                <w:sz w:val="22"/>
                <w:szCs w:val="22"/>
              </w:rPr>
              <w:t xml:space="preserve"> należy opiniowanie programów i innych dokumentów rządowych</w:t>
            </w:r>
          </w:p>
          <w:p w:rsidR="00A06425" w:rsidRPr="00A06425" w:rsidRDefault="00107103" w:rsidP="00107103">
            <w:pPr>
              <w:jc w:val="center"/>
              <w:rPr>
                <w:rFonts w:asciiTheme="minorHAnsi" w:hAnsiTheme="minorHAnsi" w:cstheme="minorHAnsi"/>
                <w:sz w:val="22"/>
                <w:szCs w:val="22"/>
              </w:rPr>
            </w:pPr>
            <w:r>
              <w:rPr>
                <w:rFonts w:ascii="Calibri" w:hAnsi="Calibri" w:cs="Calibri"/>
                <w:sz w:val="22"/>
                <w:szCs w:val="22"/>
              </w:rPr>
              <w:t xml:space="preserve">dotyczących problematyki samorządu terytorialnego. Ponadto, zgodnie z art. 2 ust. 2 </w:t>
            </w:r>
            <w:proofErr w:type="spellStart"/>
            <w:r>
              <w:rPr>
                <w:rFonts w:ascii="Calibri" w:hAnsi="Calibri" w:cs="Calibri"/>
                <w:sz w:val="22"/>
                <w:szCs w:val="22"/>
              </w:rPr>
              <w:t>KWRiST</w:t>
            </w:r>
            <w:proofErr w:type="spellEnd"/>
            <w:r>
              <w:rPr>
                <w:rFonts w:ascii="Calibri" w:hAnsi="Calibri" w:cs="Calibri"/>
                <w:sz w:val="22"/>
                <w:szCs w:val="22"/>
              </w:rPr>
              <w:t xml:space="preserve"> rozpatruje także sprawy dotyczące samorządu terytorialnego znajdujące się w zakresie działania Unii Europejskiej i organizacji międzynarodowych, do których Rzeczpospolita Polska należy.</w:t>
            </w:r>
          </w:p>
        </w:tc>
        <w:tc>
          <w:tcPr>
            <w:tcW w:w="1359" w:type="dxa"/>
          </w:tcPr>
          <w:p w:rsidR="00A06425" w:rsidRPr="00A06425" w:rsidRDefault="00A06425" w:rsidP="004D086F">
            <w:pPr>
              <w:jc w:val="center"/>
              <w:rPr>
                <w:rFonts w:asciiTheme="minorHAnsi" w:hAnsiTheme="minorHAnsi" w:cstheme="minorHAnsi"/>
                <w:sz w:val="22"/>
                <w:szCs w:val="22"/>
              </w:rPr>
            </w:pPr>
          </w:p>
        </w:tc>
      </w:tr>
      <w:tr w:rsidR="00A06425" w:rsidRPr="00A06425" w:rsidTr="00A06425">
        <w:tc>
          <w:tcPr>
            <w:tcW w:w="562" w:type="dxa"/>
            <w:shd w:val="clear" w:color="auto" w:fill="auto"/>
          </w:tcPr>
          <w:p w:rsidR="00A06425" w:rsidRPr="00A06425" w:rsidRDefault="00FE708F" w:rsidP="00A06425">
            <w:pPr>
              <w:spacing w:before="120" w:after="120"/>
              <w:jc w:val="center"/>
              <w:rPr>
                <w:rFonts w:asciiTheme="minorHAnsi" w:hAnsiTheme="minorHAnsi" w:cstheme="minorHAnsi"/>
                <w:b/>
                <w:sz w:val="22"/>
                <w:szCs w:val="22"/>
              </w:rPr>
            </w:pPr>
            <w:r>
              <w:rPr>
                <w:rFonts w:asciiTheme="minorHAnsi" w:hAnsiTheme="minorHAnsi" w:cstheme="minorHAnsi"/>
                <w:b/>
                <w:sz w:val="22"/>
                <w:szCs w:val="22"/>
              </w:rPr>
              <w:t>15</w:t>
            </w:r>
          </w:p>
        </w:tc>
        <w:tc>
          <w:tcPr>
            <w:tcW w:w="1134" w:type="dxa"/>
            <w:shd w:val="clear" w:color="auto" w:fill="auto"/>
          </w:tcPr>
          <w:p w:rsidR="00A06425" w:rsidRPr="00A06425" w:rsidRDefault="00A06425" w:rsidP="004D086F">
            <w:pPr>
              <w:spacing w:before="60" w:after="60"/>
              <w:jc w:val="center"/>
              <w:rPr>
                <w:rFonts w:asciiTheme="minorHAnsi" w:hAnsiTheme="minorHAnsi" w:cstheme="minorHAnsi"/>
                <w:b/>
                <w:sz w:val="22"/>
                <w:szCs w:val="22"/>
              </w:rPr>
            </w:pPr>
          </w:p>
        </w:tc>
        <w:tc>
          <w:tcPr>
            <w:tcW w:w="1843" w:type="dxa"/>
            <w:shd w:val="clear" w:color="auto" w:fill="auto"/>
          </w:tcPr>
          <w:p w:rsidR="00A06425" w:rsidRPr="00A06425" w:rsidRDefault="00A06425" w:rsidP="004D086F">
            <w:pPr>
              <w:jc w:val="center"/>
              <w:rPr>
                <w:rFonts w:asciiTheme="minorHAnsi" w:hAnsiTheme="minorHAnsi" w:cstheme="minorHAnsi"/>
                <w:sz w:val="22"/>
                <w:szCs w:val="22"/>
              </w:rPr>
            </w:pPr>
          </w:p>
        </w:tc>
        <w:tc>
          <w:tcPr>
            <w:tcW w:w="4678" w:type="dxa"/>
            <w:shd w:val="clear" w:color="auto" w:fill="auto"/>
          </w:tcPr>
          <w:p w:rsidR="00A06425" w:rsidRPr="00A06425" w:rsidRDefault="00A06425" w:rsidP="00FE708F">
            <w:pPr>
              <w:autoSpaceDE w:val="0"/>
              <w:autoSpaceDN w:val="0"/>
              <w:adjustRightInd w:val="0"/>
              <w:rPr>
                <w:rFonts w:asciiTheme="minorHAnsi" w:hAnsiTheme="minorHAnsi" w:cstheme="minorHAnsi"/>
                <w:sz w:val="22"/>
                <w:szCs w:val="22"/>
              </w:rPr>
            </w:pPr>
          </w:p>
        </w:tc>
        <w:tc>
          <w:tcPr>
            <w:tcW w:w="5812" w:type="dxa"/>
            <w:shd w:val="clear" w:color="auto" w:fill="auto"/>
          </w:tcPr>
          <w:p w:rsidR="00A06425" w:rsidRPr="00A06425" w:rsidRDefault="00A06425" w:rsidP="00FE708F">
            <w:pPr>
              <w:autoSpaceDE w:val="0"/>
              <w:autoSpaceDN w:val="0"/>
              <w:adjustRightInd w:val="0"/>
              <w:rPr>
                <w:rFonts w:asciiTheme="minorHAnsi" w:hAnsiTheme="minorHAnsi" w:cstheme="minorHAnsi"/>
                <w:sz w:val="22"/>
                <w:szCs w:val="22"/>
              </w:rPr>
            </w:pPr>
          </w:p>
        </w:tc>
        <w:tc>
          <w:tcPr>
            <w:tcW w:w="1359" w:type="dxa"/>
          </w:tcPr>
          <w:p w:rsidR="00A06425" w:rsidRPr="00A06425" w:rsidRDefault="00A06425" w:rsidP="004D086F">
            <w:pPr>
              <w:jc w:val="center"/>
              <w:rPr>
                <w:rFonts w:asciiTheme="minorHAnsi" w:hAnsiTheme="minorHAnsi" w:cstheme="minorHAnsi"/>
                <w:sz w:val="22"/>
                <w:szCs w:val="22"/>
              </w:rPr>
            </w:pPr>
          </w:p>
        </w:tc>
      </w:tr>
      <w:tr w:rsidR="00A06425" w:rsidRPr="00A06425" w:rsidTr="00A06425">
        <w:tc>
          <w:tcPr>
            <w:tcW w:w="562" w:type="dxa"/>
            <w:shd w:val="clear" w:color="auto" w:fill="auto"/>
          </w:tcPr>
          <w:p w:rsidR="00A06425" w:rsidRPr="00A06425" w:rsidRDefault="00FE708F" w:rsidP="00FE708F">
            <w:pPr>
              <w:spacing w:before="120" w:after="120"/>
              <w:rPr>
                <w:rFonts w:asciiTheme="minorHAnsi" w:hAnsiTheme="minorHAnsi" w:cstheme="minorHAnsi"/>
                <w:b/>
                <w:sz w:val="22"/>
                <w:szCs w:val="22"/>
              </w:rPr>
            </w:pPr>
            <w:r>
              <w:rPr>
                <w:rFonts w:asciiTheme="minorHAnsi" w:hAnsiTheme="minorHAnsi" w:cstheme="minorHAnsi"/>
                <w:b/>
                <w:sz w:val="22"/>
                <w:szCs w:val="22"/>
              </w:rPr>
              <w:t>16</w:t>
            </w:r>
          </w:p>
        </w:tc>
        <w:tc>
          <w:tcPr>
            <w:tcW w:w="1134" w:type="dxa"/>
            <w:shd w:val="clear" w:color="auto" w:fill="auto"/>
          </w:tcPr>
          <w:p w:rsidR="00A06425" w:rsidRPr="00A06425" w:rsidRDefault="00A06425" w:rsidP="004D086F">
            <w:pPr>
              <w:spacing w:before="60" w:after="60"/>
              <w:jc w:val="center"/>
              <w:rPr>
                <w:rFonts w:asciiTheme="minorHAnsi" w:hAnsiTheme="minorHAnsi" w:cstheme="minorHAnsi"/>
                <w:b/>
                <w:sz w:val="22"/>
                <w:szCs w:val="22"/>
              </w:rPr>
            </w:pPr>
          </w:p>
        </w:tc>
        <w:tc>
          <w:tcPr>
            <w:tcW w:w="1843" w:type="dxa"/>
            <w:shd w:val="clear" w:color="auto" w:fill="auto"/>
          </w:tcPr>
          <w:p w:rsidR="00A06425" w:rsidRPr="00A06425" w:rsidRDefault="00A06425" w:rsidP="004D086F">
            <w:pPr>
              <w:jc w:val="center"/>
              <w:rPr>
                <w:rFonts w:asciiTheme="minorHAnsi" w:hAnsiTheme="minorHAnsi" w:cstheme="minorHAnsi"/>
                <w:sz w:val="22"/>
                <w:szCs w:val="22"/>
              </w:rPr>
            </w:pPr>
          </w:p>
        </w:tc>
        <w:tc>
          <w:tcPr>
            <w:tcW w:w="4678" w:type="dxa"/>
            <w:shd w:val="clear" w:color="auto" w:fill="auto"/>
          </w:tcPr>
          <w:p w:rsidR="00A06425" w:rsidRPr="00A06425" w:rsidRDefault="00A06425" w:rsidP="004D086F">
            <w:pPr>
              <w:jc w:val="center"/>
              <w:rPr>
                <w:rFonts w:asciiTheme="minorHAnsi" w:hAnsiTheme="minorHAnsi" w:cstheme="minorHAnsi"/>
                <w:sz w:val="22"/>
                <w:szCs w:val="22"/>
              </w:rPr>
            </w:pPr>
          </w:p>
        </w:tc>
        <w:tc>
          <w:tcPr>
            <w:tcW w:w="5812" w:type="dxa"/>
            <w:shd w:val="clear" w:color="auto" w:fill="auto"/>
          </w:tcPr>
          <w:p w:rsidR="00A06425" w:rsidRPr="00A06425" w:rsidRDefault="00A06425" w:rsidP="004D086F">
            <w:pPr>
              <w:jc w:val="center"/>
              <w:rPr>
                <w:rFonts w:asciiTheme="minorHAnsi" w:hAnsiTheme="minorHAnsi" w:cstheme="minorHAnsi"/>
                <w:sz w:val="22"/>
                <w:szCs w:val="22"/>
              </w:rPr>
            </w:pPr>
          </w:p>
        </w:tc>
        <w:tc>
          <w:tcPr>
            <w:tcW w:w="1359" w:type="dxa"/>
          </w:tcPr>
          <w:p w:rsidR="00A06425" w:rsidRPr="00A06425" w:rsidRDefault="00A06425" w:rsidP="004D086F">
            <w:pPr>
              <w:jc w:val="center"/>
              <w:rPr>
                <w:rFonts w:asciiTheme="minorHAnsi" w:hAnsiTheme="minorHAnsi" w:cstheme="minorHAnsi"/>
                <w:sz w:val="22"/>
                <w:szCs w:val="22"/>
              </w:rPr>
            </w:pPr>
          </w:p>
        </w:tc>
      </w:tr>
    </w:tbl>
    <w:p w:rsidR="00C64B1B" w:rsidRDefault="00C64B1B" w:rsidP="00C64B1B">
      <w:pPr>
        <w:jc w:val="center"/>
      </w:pPr>
    </w:p>
    <w:sectPr w:rsidR="00C64B1B" w:rsidSect="00A06425">
      <w:pgSz w:w="16838" w:h="11906" w:orient="landscape"/>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altName w:val="Calibri"/>
    <w:panose1 w:val="020F0502020204030204"/>
    <w:charset w:val="EE"/>
    <w:family w:val="swiss"/>
    <w:pitch w:val="variable"/>
    <w:sig w:usb0="E0002E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4B1B"/>
    <w:rsid w:val="00034258"/>
    <w:rsid w:val="00107103"/>
    <w:rsid w:val="00140BE8"/>
    <w:rsid w:val="0019648E"/>
    <w:rsid w:val="002715B2"/>
    <w:rsid w:val="003124D1"/>
    <w:rsid w:val="003B4105"/>
    <w:rsid w:val="004D086F"/>
    <w:rsid w:val="005F6527"/>
    <w:rsid w:val="006568EE"/>
    <w:rsid w:val="006705EC"/>
    <w:rsid w:val="006E16E9"/>
    <w:rsid w:val="00710A8A"/>
    <w:rsid w:val="00807385"/>
    <w:rsid w:val="00905572"/>
    <w:rsid w:val="00944932"/>
    <w:rsid w:val="009E5FDB"/>
    <w:rsid w:val="00A06425"/>
    <w:rsid w:val="00AC7796"/>
    <w:rsid w:val="00B468F9"/>
    <w:rsid w:val="00B871B6"/>
    <w:rsid w:val="00C64B1B"/>
    <w:rsid w:val="00C76185"/>
    <w:rsid w:val="00CD5EB0"/>
    <w:rsid w:val="00E14C33"/>
    <w:rsid w:val="00F11E13"/>
    <w:rsid w:val="00FE708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379E184-FF6E-46FA-BB13-F6EF6AC0F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C64B1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dymka">
    <w:name w:val="Balloon Text"/>
    <w:basedOn w:val="Normalny"/>
    <w:link w:val="TekstdymkaZnak"/>
    <w:rsid w:val="00A06425"/>
    <w:rPr>
      <w:rFonts w:ascii="Segoe UI" w:hAnsi="Segoe UI" w:cs="Segoe UI"/>
      <w:sz w:val="18"/>
      <w:szCs w:val="18"/>
    </w:rPr>
  </w:style>
  <w:style w:type="character" w:customStyle="1" w:styleId="TekstdymkaZnak">
    <w:name w:val="Tekst dymka Znak"/>
    <w:basedOn w:val="Domylnaczcionkaakapitu"/>
    <w:link w:val="Tekstdymka"/>
    <w:rsid w:val="00A0642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806024">
      <w:bodyDiv w:val="1"/>
      <w:marLeft w:val="0"/>
      <w:marRight w:val="0"/>
      <w:marTop w:val="0"/>
      <w:marBottom w:val="0"/>
      <w:divBdr>
        <w:top w:val="none" w:sz="0" w:space="0" w:color="auto"/>
        <w:left w:val="none" w:sz="0" w:space="0" w:color="auto"/>
        <w:bottom w:val="none" w:sz="0" w:space="0" w:color="auto"/>
        <w:right w:val="none" w:sz="0" w:space="0" w:color="auto"/>
      </w:divBdr>
    </w:div>
    <w:div w:id="343094181">
      <w:bodyDiv w:val="1"/>
      <w:marLeft w:val="0"/>
      <w:marRight w:val="0"/>
      <w:marTop w:val="0"/>
      <w:marBottom w:val="0"/>
      <w:divBdr>
        <w:top w:val="none" w:sz="0" w:space="0" w:color="auto"/>
        <w:left w:val="none" w:sz="0" w:space="0" w:color="auto"/>
        <w:bottom w:val="none" w:sz="0" w:space="0" w:color="auto"/>
        <w:right w:val="none" w:sz="0" w:space="0" w:color="auto"/>
      </w:divBdr>
    </w:div>
    <w:div w:id="403375355">
      <w:bodyDiv w:val="1"/>
      <w:marLeft w:val="0"/>
      <w:marRight w:val="0"/>
      <w:marTop w:val="0"/>
      <w:marBottom w:val="0"/>
      <w:divBdr>
        <w:top w:val="none" w:sz="0" w:space="0" w:color="auto"/>
        <w:left w:val="none" w:sz="0" w:space="0" w:color="auto"/>
        <w:bottom w:val="none" w:sz="0" w:space="0" w:color="auto"/>
        <w:right w:val="none" w:sz="0" w:space="0" w:color="auto"/>
      </w:divBdr>
    </w:div>
    <w:div w:id="561020788">
      <w:bodyDiv w:val="1"/>
      <w:marLeft w:val="0"/>
      <w:marRight w:val="0"/>
      <w:marTop w:val="0"/>
      <w:marBottom w:val="0"/>
      <w:divBdr>
        <w:top w:val="none" w:sz="0" w:space="0" w:color="auto"/>
        <w:left w:val="none" w:sz="0" w:space="0" w:color="auto"/>
        <w:bottom w:val="none" w:sz="0" w:space="0" w:color="auto"/>
        <w:right w:val="none" w:sz="0" w:space="0" w:color="auto"/>
      </w:divBdr>
    </w:div>
    <w:div w:id="843710778">
      <w:bodyDiv w:val="1"/>
      <w:marLeft w:val="0"/>
      <w:marRight w:val="0"/>
      <w:marTop w:val="0"/>
      <w:marBottom w:val="0"/>
      <w:divBdr>
        <w:top w:val="none" w:sz="0" w:space="0" w:color="auto"/>
        <w:left w:val="none" w:sz="0" w:space="0" w:color="auto"/>
        <w:bottom w:val="none" w:sz="0" w:space="0" w:color="auto"/>
        <w:right w:val="none" w:sz="0" w:space="0" w:color="auto"/>
      </w:divBdr>
    </w:div>
    <w:div w:id="976226191">
      <w:bodyDiv w:val="1"/>
      <w:marLeft w:val="0"/>
      <w:marRight w:val="0"/>
      <w:marTop w:val="0"/>
      <w:marBottom w:val="0"/>
      <w:divBdr>
        <w:top w:val="none" w:sz="0" w:space="0" w:color="auto"/>
        <w:left w:val="none" w:sz="0" w:space="0" w:color="auto"/>
        <w:bottom w:val="none" w:sz="0" w:space="0" w:color="auto"/>
        <w:right w:val="none" w:sz="0" w:space="0" w:color="auto"/>
      </w:divBdr>
    </w:div>
    <w:div w:id="1076707778">
      <w:bodyDiv w:val="1"/>
      <w:marLeft w:val="0"/>
      <w:marRight w:val="0"/>
      <w:marTop w:val="0"/>
      <w:marBottom w:val="0"/>
      <w:divBdr>
        <w:top w:val="none" w:sz="0" w:space="0" w:color="auto"/>
        <w:left w:val="none" w:sz="0" w:space="0" w:color="auto"/>
        <w:bottom w:val="none" w:sz="0" w:space="0" w:color="auto"/>
        <w:right w:val="none" w:sz="0" w:space="0" w:color="auto"/>
      </w:divBdr>
    </w:div>
    <w:div w:id="1273974584">
      <w:bodyDiv w:val="1"/>
      <w:marLeft w:val="0"/>
      <w:marRight w:val="0"/>
      <w:marTop w:val="0"/>
      <w:marBottom w:val="0"/>
      <w:divBdr>
        <w:top w:val="none" w:sz="0" w:space="0" w:color="auto"/>
        <w:left w:val="none" w:sz="0" w:space="0" w:color="auto"/>
        <w:bottom w:val="none" w:sz="0" w:space="0" w:color="auto"/>
        <w:right w:val="none" w:sz="0" w:space="0" w:color="auto"/>
      </w:divBdr>
    </w:div>
    <w:div w:id="1874465089">
      <w:bodyDiv w:val="1"/>
      <w:marLeft w:val="0"/>
      <w:marRight w:val="0"/>
      <w:marTop w:val="0"/>
      <w:marBottom w:val="0"/>
      <w:divBdr>
        <w:top w:val="none" w:sz="0" w:space="0" w:color="auto"/>
        <w:left w:val="none" w:sz="0" w:space="0" w:color="auto"/>
        <w:bottom w:val="none" w:sz="0" w:space="0" w:color="auto"/>
        <w:right w:val="none" w:sz="0" w:space="0" w:color="auto"/>
      </w:divBdr>
    </w:div>
    <w:div w:id="1947152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1493</Words>
  <Characters>8964</Characters>
  <Application>Microsoft Office Word</Application>
  <DocSecurity>0</DocSecurity>
  <Lines>74</Lines>
  <Paragraphs>20</Paragraphs>
  <ScaleCrop>false</ScaleCrop>
  <HeadingPairs>
    <vt:vector size="2" baseType="variant">
      <vt:variant>
        <vt:lpstr>Tytuł</vt:lpstr>
      </vt:variant>
      <vt:variant>
        <vt:i4>1</vt:i4>
      </vt:variant>
    </vt:vector>
  </HeadingPairs>
  <TitlesOfParts>
    <vt:vector size="1" baseType="lpstr">
      <vt:lpstr/>
    </vt:vector>
  </TitlesOfParts>
  <Company>MSWIA</Company>
  <LinksUpToDate>false</LinksUpToDate>
  <CharactersWithSpaces>10437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BAF</dc:creator>
  <cp:keywords/>
  <cp:lastModifiedBy>Dmowska-Latek Agnieszka</cp:lastModifiedBy>
  <cp:revision>5</cp:revision>
  <dcterms:created xsi:type="dcterms:W3CDTF">2021-09-29T07:44:00Z</dcterms:created>
  <dcterms:modified xsi:type="dcterms:W3CDTF">2021-09-29T08:35:00Z</dcterms:modified>
</cp:coreProperties>
</file>